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6BF" w:rsidRPr="001F0949" w:rsidRDefault="00A526BF" w:rsidP="00A526BF">
      <w:pPr>
        <w:pStyle w:val="Heading1"/>
        <w:rPr>
          <w:b/>
        </w:rPr>
      </w:pPr>
      <w:bookmarkStart w:id="0" w:name="_Toc139552163"/>
      <w:r w:rsidRPr="001F0949">
        <w:rPr>
          <w:b/>
        </w:rPr>
        <w:t>2022 Rough Sleeping Count/Estimates</w:t>
      </w:r>
      <w:bookmarkEnd w:id="0"/>
    </w:p>
    <w:p w:rsidR="00A526BF" w:rsidRDefault="00A526BF" w:rsidP="00A526BF">
      <w:pPr>
        <w:jc w:val="both"/>
        <w:rPr>
          <w:b/>
          <w:color w:val="244061" w:themeColor="accent1" w:themeShade="80"/>
          <w:sz w:val="28"/>
          <w:szCs w:val="28"/>
          <w:lang w:val="en-US"/>
        </w:rPr>
      </w:pPr>
    </w:p>
    <w:p w:rsidR="00A526BF" w:rsidRDefault="00A526BF" w:rsidP="00A526BF">
      <w:pPr>
        <w:jc w:val="both"/>
        <w:rPr>
          <w:lang w:val="en-US"/>
        </w:rPr>
        <w:sectPr w:rsidR="00A526BF" w:rsidSect="00A526BF">
          <w:pgSz w:w="11906" w:h="16838"/>
          <w:pgMar w:top="1440" w:right="1440" w:bottom="1440" w:left="1440" w:header="708" w:footer="708" w:gutter="0"/>
          <w:cols w:space="708"/>
          <w:titlePg/>
          <w:docGrid w:linePitch="360"/>
        </w:sectPr>
      </w:pPr>
    </w:p>
    <w:p w:rsidR="00A526BF" w:rsidRPr="00FE3805" w:rsidRDefault="00A526BF" w:rsidP="00A526BF">
      <w:pPr>
        <w:jc w:val="both"/>
        <w:rPr>
          <w:lang w:val="en-US"/>
        </w:rPr>
      </w:pPr>
      <w:r w:rsidRPr="00FE3805">
        <w:rPr>
          <w:lang w:val="en-US"/>
        </w:rPr>
        <w:t xml:space="preserve">As part of our commitment to regularly monitor and measure the extent of rough sleeping throughout Northern Ireland, the Housing Executive have been conducting annual rough sleeping counts/estimates since 2018. Prior to 2018 the Housing Executive carried out snapshot counts only in areas where there was an identified need, which were primarily urban areas such as Belfast and Newry. The approach since 2018 has enabled the Housing Executive to publish information on rough sleeping across Northern Ireland as outlined in this update. This snapshot also allows the Housing Executive to track progress, consider whether current measures are effective in tackling rough sleeping and/or if new approaches are needed. </w:t>
      </w:r>
    </w:p>
    <w:p w:rsidR="00A526BF" w:rsidRPr="00FE3805" w:rsidRDefault="00A526BF" w:rsidP="00A526BF">
      <w:pPr>
        <w:jc w:val="both"/>
        <w:rPr>
          <w:lang w:val="en-US"/>
        </w:rPr>
      </w:pPr>
      <w:r w:rsidRPr="00FE3805">
        <w:rPr>
          <w:lang w:val="en-US"/>
        </w:rPr>
        <w:t>To ensure consistency each year and to gather data which is comparable with other jurisdictions, the Housing Executive conduct the rough sleeping count/estimates using Homeless Link’s Rough Sleeping Estimate guidance</w:t>
      </w:r>
      <w:r w:rsidRPr="00FE3805">
        <w:rPr>
          <w:vertAlign w:val="superscript"/>
          <w:lang w:val="en-US"/>
        </w:rPr>
        <w:footnoteReference w:id="1"/>
      </w:r>
      <w:r>
        <w:rPr>
          <w:lang w:val="en-US"/>
        </w:rPr>
        <w:t>.</w:t>
      </w:r>
    </w:p>
    <w:p w:rsidR="00A526BF" w:rsidRPr="00FE3805" w:rsidRDefault="00A526BF" w:rsidP="00A526BF">
      <w:pPr>
        <w:jc w:val="both"/>
        <w:rPr>
          <w:b/>
          <w:color w:val="244061" w:themeColor="accent1" w:themeShade="80"/>
          <w:sz w:val="24"/>
          <w:szCs w:val="24"/>
          <w:lang w:val="en-US"/>
        </w:rPr>
      </w:pPr>
      <w:r w:rsidRPr="00FE3805">
        <w:rPr>
          <w:b/>
          <w:color w:val="244061" w:themeColor="accent1" w:themeShade="80"/>
          <w:sz w:val="24"/>
          <w:szCs w:val="24"/>
          <w:lang w:val="en-US"/>
        </w:rPr>
        <w:t>Rough Sleeper Street Counts</w:t>
      </w:r>
    </w:p>
    <w:p w:rsidR="00A526BF" w:rsidRPr="00FE3805" w:rsidRDefault="00A526BF" w:rsidP="00A526BF">
      <w:pPr>
        <w:jc w:val="both"/>
        <w:rPr>
          <w:lang w:val="en-US"/>
        </w:rPr>
      </w:pPr>
      <w:r w:rsidRPr="00FE3805">
        <w:rPr>
          <w:lang w:val="en-US"/>
        </w:rPr>
        <w:t>As per Homeless Link’s guidance, rough sleepers are identified using the definition below:</w:t>
      </w:r>
    </w:p>
    <w:p w:rsidR="00A526BF" w:rsidRPr="00FE3805" w:rsidRDefault="00A526BF" w:rsidP="00A526BF">
      <w:pPr>
        <w:jc w:val="both"/>
        <w:rPr>
          <w:i/>
          <w:lang w:val="en-US"/>
        </w:rPr>
      </w:pPr>
      <w:r w:rsidRPr="00FE3805">
        <w:rPr>
          <w:i/>
        </w:rPr>
        <w:t>People sleeping, about to bed down (sitting on/in or standing next to their bedding) or actually bedded down in the open air (such as on the streets, in tents, doorways, parks, bus shelters or encampments). People in buildings or other places, not designed for habitation (such as stairwells, barns, sheds, car parks, cars, derelict boats, stations or ‘bashes’).</w:t>
      </w:r>
    </w:p>
    <w:p w:rsidR="00A526BF" w:rsidRPr="00FE3805" w:rsidRDefault="00A526BF" w:rsidP="00A526BF">
      <w:pPr>
        <w:jc w:val="both"/>
        <w:rPr>
          <w:lang w:val="en-US"/>
        </w:rPr>
      </w:pPr>
      <w:r w:rsidRPr="00FE3805">
        <w:rPr>
          <w:lang w:val="en-US"/>
        </w:rPr>
        <w:t>The rough sleeper street counts took place in the following locations:</w:t>
      </w:r>
    </w:p>
    <w:p w:rsidR="00A526BF" w:rsidRPr="003147A4" w:rsidRDefault="00A526BF" w:rsidP="00A526BF">
      <w:pPr>
        <w:numPr>
          <w:ilvl w:val="0"/>
          <w:numId w:val="1"/>
        </w:numPr>
        <w:contextualSpacing/>
        <w:jc w:val="both"/>
        <w:rPr>
          <w:lang w:val="en-US"/>
        </w:rPr>
      </w:pPr>
      <w:r w:rsidRPr="003147A4">
        <w:rPr>
          <w:lang w:val="en-US"/>
        </w:rPr>
        <w:t>Belfast – night of Tuesday 1</w:t>
      </w:r>
      <w:r w:rsidRPr="003147A4">
        <w:rPr>
          <w:vertAlign w:val="superscript"/>
          <w:lang w:val="en-US"/>
        </w:rPr>
        <w:t>st</w:t>
      </w:r>
      <w:r w:rsidRPr="003147A4">
        <w:rPr>
          <w:lang w:val="en-US"/>
        </w:rPr>
        <w:t xml:space="preserve"> November leading into the morning of Wednesday 2</w:t>
      </w:r>
      <w:r w:rsidRPr="003147A4">
        <w:rPr>
          <w:vertAlign w:val="superscript"/>
          <w:lang w:val="en-US"/>
        </w:rPr>
        <w:t>nd</w:t>
      </w:r>
      <w:r w:rsidRPr="003147A4">
        <w:rPr>
          <w:lang w:val="en-US"/>
        </w:rPr>
        <w:t xml:space="preserve"> Novembe</w:t>
      </w:r>
      <w:r>
        <w:rPr>
          <w:lang w:val="en-US"/>
        </w:rPr>
        <w:t>r</w:t>
      </w:r>
    </w:p>
    <w:p w:rsidR="00A526BF" w:rsidRPr="003147A4" w:rsidRDefault="00A526BF" w:rsidP="00A526BF">
      <w:pPr>
        <w:numPr>
          <w:ilvl w:val="0"/>
          <w:numId w:val="1"/>
        </w:numPr>
        <w:contextualSpacing/>
        <w:jc w:val="both"/>
        <w:rPr>
          <w:lang w:val="en-US"/>
        </w:rPr>
      </w:pPr>
      <w:r w:rsidRPr="003147A4">
        <w:rPr>
          <w:lang w:val="en-US"/>
        </w:rPr>
        <w:t>Newry – night of Tuesday 8</w:t>
      </w:r>
      <w:r w:rsidRPr="003147A4">
        <w:rPr>
          <w:vertAlign w:val="superscript"/>
          <w:lang w:val="en-US"/>
        </w:rPr>
        <w:t>th</w:t>
      </w:r>
      <w:r w:rsidRPr="003147A4">
        <w:rPr>
          <w:lang w:val="en-US"/>
        </w:rPr>
        <w:t xml:space="preserve"> November leading into the morning of Wednesday 9</w:t>
      </w:r>
      <w:r w:rsidRPr="003147A4">
        <w:rPr>
          <w:vertAlign w:val="superscript"/>
          <w:lang w:val="en-US"/>
        </w:rPr>
        <w:t>th</w:t>
      </w:r>
      <w:r w:rsidRPr="003147A4">
        <w:rPr>
          <w:lang w:val="en-US"/>
        </w:rPr>
        <w:t xml:space="preserve"> November</w:t>
      </w:r>
    </w:p>
    <w:p w:rsidR="00A526BF" w:rsidRDefault="00A526BF" w:rsidP="00A526BF">
      <w:pPr>
        <w:numPr>
          <w:ilvl w:val="0"/>
          <w:numId w:val="1"/>
        </w:numPr>
        <w:contextualSpacing/>
        <w:jc w:val="both"/>
        <w:rPr>
          <w:lang w:val="en-US"/>
        </w:rPr>
      </w:pPr>
      <w:r w:rsidRPr="003147A4">
        <w:rPr>
          <w:lang w:val="en-US"/>
        </w:rPr>
        <w:t>Derry/Londonderry</w:t>
      </w:r>
      <w:r w:rsidRPr="00FE3805">
        <w:rPr>
          <w:lang w:val="en-US"/>
        </w:rPr>
        <w:t xml:space="preserve"> – night of Tuesday 22</w:t>
      </w:r>
      <w:r w:rsidRPr="00FE3805">
        <w:rPr>
          <w:vertAlign w:val="superscript"/>
          <w:lang w:val="en-US"/>
        </w:rPr>
        <w:t>nd</w:t>
      </w:r>
      <w:r w:rsidRPr="00FE3805">
        <w:rPr>
          <w:lang w:val="en-US"/>
        </w:rPr>
        <w:t xml:space="preserve"> November leading into the morning of Wednesday 23</w:t>
      </w:r>
      <w:r w:rsidRPr="00FE3805">
        <w:rPr>
          <w:vertAlign w:val="superscript"/>
          <w:lang w:val="en-US"/>
        </w:rPr>
        <w:t>rd</w:t>
      </w:r>
      <w:r w:rsidRPr="00FE3805">
        <w:rPr>
          <w:lang w:val="en-US"/>
        </w:rPr>
        <w:t xml:space="preserve"> November</w:t>
      </w:r>
    </w:p>
    <w:p w:rsidR="00A526BF" w:rsidRPr="00FE3805" w:rsidRDefault="00A526BF" w:rsidP="00A526BF">
      <w:pPr>
        <w:ind w:left="720"/>
        <w:contextualSpacing/>
        <w:jc w:val="both"/>
        <w:rPr>
          <w:lang w:val="en-US"/>
        </w:rPr>
      </w:pPr>
    </w:p>
    <w:p w:rsidR="00A526BF" w:rsidRPr="00FE3805" w:rsidRDefault="00A526BF" w:rsidP="00A526BF">
      <w:pPr>
        <w:jc w:val="both"/>
        <w:rPr>
          <w:lang w:val="en-US"/>
        </w:rPr>
      </w:pPr>
      <w:r w:rsidRPr="00FE3805">
        <w:rPr>
          <w:lang w:val="en-US"/>
        </w:rPr>
        <w:t xml:space="preserve">The Housing Executive carried out Belfast &amp; Newry counts alongside staff from the Welcome </w:t>
      </w:r>
      <w:proofErr w:type="spellStart"/>
      <w:r w:rsidRPr="00FE3805">
        <w:rPr>
          <w:lang w:val="en-US"/>
        </w:rPr>
        <w:t>Organisation</w:t>
      </w:r>
      <w:proofErr w:type="spellEnd"/>
      <w:r w:rsidRPr="00FE3805">
        <w:rPr>
          <w:lang w:val="en-US"/>
        </w:rPr>
        <w:t>. The count for</w:t>
      </w:r>
      <w:r>
        <w:rPr>
          <w:lang w:val="en-US"/>
        </w:rPr>
        <w:t xml:space="preserve"> Derry/London</w:t>
      </w:r>
      <w:r w:rsidRPr="00FE3805">
        <w:rPr>
          <w:lang w:val="en-US"/>
        </w:rPr>
        <w:t xml:space="preserve">derry was carried out alongside staff from First Housing Aid and Support Services (FHASS). Both partner </w:t>
      </w:r>
      <w:proofErr w:type="spellStart"/>
      <w:r w:rsidRPr="00FE3805">
        <w:rPr>
          <w:lang w:val="en-US"/>
        </w:rPr>
        <w:t>organisations</w:t>
      </w:r>
      <w:proofErr w:type="spellEnd"/>
      <w:r w:rsidRPr="00FE3805">
        <w:rPr>
          <w:lang w:val="en-US"/>
        </w:rPr>
        <w:t xml:space="preserve"> have expert knowledge of rough sleeping and provide daily support and assistance to individuals who rough sleep in the cities.</w:t>
      </w:r>
    </w:p>
    <w:p w:rsidR="00A526BF" w:rsidRPr="00FE3805" w:rsidRDefault="00A526BF" w:rsidP="00A526BF">
      <w:pPr>
        <w:jc w:val="both"/>
        <w:rPr>
          <w:b/>
          <w:color w:val="244061" w:themeColor="accent1" w:themeShade="80"/>
          <w:sz w:val="24"/>
          <w:szCs w:val="24"/>
          <w:lang w:val="en-US"/>
        </w:rPr>
      </w:pPr>
      <w:r w:rsidRPr="00FE3805">
        <w:rPr>
          <w:b/>
          <w:color w:val="244061" w:themeColor="accent1" w:themeShade="80"/>
          <w:sz w:val="24"/>
          <w:szCs w:val="24"/>
          <w:lang w:val="en-US"/>
        </w:rPr>
        <w:t>Rough Sleeper Street Estimates</w:t>
      </w:r>
    </w:p>
    <w:p w:rsidR="00A526BF" w:rsidRPr="00FE3805" w:rsidRDefault="00A526BF" w:rsidP="00A526BF">
      <w:pPr>
        <w:jc w:val="both"/>
        <w:rPr>
          <w:lang w:val="en-US"/>
        </w:rPr>
      </w:pPr>
      <w:r>
        <w:rPr>
          <w:lang w:val="en-US"/>
        </w:rPr>
        <w:t xml:space="preserve">An </w:t>
      </w:r>
      <w:r w:rsidRPr="00FE3805">
        <w:rPr>
          <w:lang w:val="en-US"/>
        </w:rPr>
        <w:t>evidence-based</w:t>
      </w:r>
      <w:r>
        <w:rPr>
          <w:lang w:val="en-US"/>
        </w:rPr>
        <w:t xml:space="preserve"> estimates</w:t>
      </w:r>
      <w:r w:rsidRPr="00FE3805">
        <w:rPr>
          <w:lang w:val="en-US"/>
        </w:rPr>
        <w:t xml:space="preserve"> approach was used in all other areas across Northern Ireland to gather rough sleeping estimates. This method is intelligence-led and involves working with partner agencies, including local Housing Executive offices, PSNI, local councils, health trusts and relevant community and voluntary agencies. These agencies record and report how many people are rough sleeping in their area on a chosen night. </w:t>
      </w:r>
    </w:p>
    <w:p w:rsidR="00A526BF" w:rsidRPr="00FE3805" w:rsidRDefault="00A526BF" w:rsidP="00A526BF">
      <w:pPr>
        <w:jc w:val="both"/>
        <w:rPr>
          <w:lang w:val="en-US"/>
        </w:rPr>
      </w:pPr>
      <w:r w:rsidRPr="00FE3805">
        <w:t xml:space="preserve">It is important to emphasise that the purpose of the estimate is to assess the numbers of people rough sleeping on the typical night chosen, rather than a larger sample of street activity, hidden homelessness or people using homelessness services. This means that, for example, a person who sometimes sleeps rough but sometimes has accommodation/shelter is not included in the </w:t>
      </w:r>
      <w:r w:rsidRPr="00FE3805">
        <w:lastRenderedPageBreak/>
        <w:t>estimate unless there is evidence that they did sleep rough on that night.</w:t>
      </w:r>
    </w:p>
    <w:p w:rsidR="00A526BF" w:rsidRPr="00FE3805" w:rsidRDefault="00A526BF" w:rsidP="00A526BF">
      <w:pPr>
        <w:jc w:val="both"/>
        <w:rPr>
          <w:lang w:val="en-US"/>
        </w:rPr>
      </w:pPr>
      <w:r w:rsidRPr="00FE3805">
        <w:rPr>
          <w:lang w:val="en-US"/>
        </w:rPr>
        <w:t>The chosen night for the evidence-based count across Northern Ireland was the evening of Tuesday 22</w:t>
      </w:r>
      <w:r w:rsidRPr="00FE3805">
        <w:rPr>
          <w:vertAlign w:val="superscript"/>
          <w:lang w:val="en-US"/>
        </w:rPr>
        <w:t>nd</w:t>
      </w:r>
      <w:r w:rsidRPr="00FE3805">
        <w:rPr>
          <w:lang w:val="en-US"/>
        </w:rPr>
        <w:t xml:space="preserve"> November going into the morning of Wednesday 23</w:t>
      </w:r>
      <w:r w:rsidRPr="00FE3805">
        <w:rPr>
          <w:vertAlign w:val="superscript"/>
          <w:lang w:val="en-US"/>
        </w:rPr>
        <w:t>rd</w:t>
      </w:r>
      <w:r>
        <w:rPr>
          <w:lang w:val="en-US"/>
        </w:rPr>
        <w:t xml:space="preserve"> </w:t>
      </w:r>
      <w:proofErr w:type="gramStart"/>
      <w:r>
        <w:rPr>
          <w:lang w:val="en-US"/>
        </w:rPr>
        <w:t>November.</w:t>
      </w:r>
      <w:proofErr w:type="gramEnd"/>
      <w:r>
        <w:rPr>
          <w:lang w:val="en-US"/>
        </w:rPr>
        <w:t xml:space="preserve"> </w:t>
      </w:r>
    </w:p>
    <w:p w:rsidR="00A526BF" w:rsidRPr="00FE3805" w:rsidRDefault="00A526BF" w:rsidP="00A526BF">
      <w:pPr>
        <w:jc w:val="both"/>
        <w:rPr>
          <w:b/>
          <w:color w:val="244061" w:themeColor="accent1" w:themeShade="80"/>
          <w:sz w:val="24"/>
          <w:szCs w:val="24"/>
          <w:lang w:val="en-US"/>
        </w:rPr>
      </w:pPr>
      <w:r w:rsidRPr="00FE3805">
        <w:rPr>
          <w:b/>
          <w:color w:val="244061" w:themeColor="accent1" w:themeShade="80"/>
          <w:sz w:val="24"/>
          <w:szCs w:val="24"/>
          <w:lang w:val="en-US"/>
        </w:rPr>
        <w:t>Headline Figures</w:t>
      </w:r>
    </w:p>
    <w:p w:rsidR="00A526BF" w:rsidRDefault="00A526BF" w:rsidP="00A526BF">
      <w:pPr>
        <w:jc w:val="both"/>
        <w:rPr>
          <w:lang w:val="en-US"/>
        </w:rPr>
      </w:pPr>
      <w:r w:rsidRPr="00FE3805">
        <w:rPr>
          <w:lang w:val="en-US"/>
        </w:rPr>
        <w:t>A total of 33 people were estimated to be rough sleeping in Northern Ireland across the street counts/estimates outlined above. This represents a 43% increase from the 2021 figure of 23.</w:t>
      </w:r>
    </w:p>
    <w:p w:rsidR="00A526BF" w:rsidRPr="00FE3805" w:rsidRDefault="00A526BF" w:rsidP="00A526BF">
      <w:pPr>
        <w:jc w:val="both"/>
        <w:rPr>
          <w:lang w:val="en-US"/>
        </w:rPr>
      </w:pPr>
      <w:r w:rsidRPr="00E31B38">
        <w:rPr>
          <w:lang w:val="en-US"/>
        </w:rPr>
        <w:t xml:space="preserve">The use of a methodology that is consistent with England enables a </w:t>
      </w:r>
      <w:r>
        <w:rPr>
          <w:lang w:val="en-US"/>
        </w:rPr>
        <w:t xml:space="preserve">comparison to be in respect of </w:t>
      </w:r>
      <w:r w:rsidRPr="00E31B38">
        <w:rPr>
          <w:lang w:val="en-US"/>
        </w:rPr>
        <w:t>overall numbers. When a direct comparison is made numbers of roug</w:t>
      </w:r>
      <w:r>
        <w:rPr>
          <w:lang w:val="en-US"/>
        </w:rPr>
        <w:t xml:space="preserve">h sleepers in Northern Ireland </w:t>
      </w:r>
      <w:r w:rsidRPr="00E31B38">
        <w:rPr>
          <w:lang w:val="en-US"/>
        </w:rPr>
        <w:t>are substantially lower than the most recent figures provided for E</w:t>
      </w:r>
      <w:r>
        <w:rPr>
          <w:lang w:val="en-US"/>
        </w:rPr>
        <w:t>ngland where it was noted that there were 3,069</w:t>
      </w:r>
      <w:r w:rsidRPr="00E31B38">
        <w:rPr>
          <w:lang w:val="en-US"/>
        </w:rPr>
        <w:t xml:space="preserve"> people estimated to be sleeping rough </w:t>
      </w:r>
      <w:r>
        <w:rPr>
          <w:lang w:val="en-US"/>
        </w:rPr>
        <w:t>on a single night in autumn 2022</w:t>
      </w:r>
      <w:r w:rsidRPr="00E31B38">
        <w:rPr>
          <w:lang w:val="en-US"/>
        </w:rPr>
        <w:t>.</w:t>
      </w:r>
    </w:p>
    <w:p w:rsidR="00A526BF" w:rsidRPr="00FE3805" w:rsidRDefault="00A526BF" w:rsidP="00A526BF">
      <w:pPr>
        <w:jc w:val="both"/>
        <w:rPr>
          <w:b/>
          <w:color w:val="244061" w:themeColor="accent1" w:themeShade="80"/>
          <w:lang w:val="en-US"/>
        </w:rPr>
      </w:pPr>
      <w:r w:rsidRPr="00FE3805">
        <w:rPr>
          <w:b/>
          <w:color w:val="244061" w:themeColor="accent1" w:themeShade="80"/>
          <w:lang w:val="en-US"/>
        </w:rPr>
        <w:t>Rough sleeping by area</w:t>
      </w:r>
    </w:p>
    <w:p w:rsidR="00A526BF" w:rsidRPr="003147A4" w:rsidRDefault="00A526BF" w:rsidP="00A526BF">
      <w:pPr>
        <w:jc w:val="both"/>
        <w:rPr>
          <w:lang w:val="en-US"/>
        </w:rPr>
      </w:pPr>
      <w:r w:rsidRPr="00FE3805">
        <w:rPr>
          <w:lang w:val="en-US"/>
        </w:rPr>
        <w:t>The table below outlines the number of rough sleepers by L</w:t>
      </w:r>
      <w:r>
        <w:rPr>
          <w:lang w:val="en-US"/>
        </w:rPr>
        <w:t>ocal Government District (LGD).</w:t>
      </w:r>
    </w:p>
    <w:tbl>
      <w:tblPr>
        <w:tblStyle w:val="TableGrid2"/>
        <w:tblW w:w="0" w:type="auto"/>
        <w:tblLook w:val="04A0" w:firstRow="1" w:lastRow="0" w:firstColumn="1" w:lastColumn="0" w:noHBand="0" w:noVBand="1"/>
      </w:tblPr>
      <w:tblGrid>
        <w:gridCol w:w="1324"/>
        <w:gridCol w:w="565"/>
        <w:gridCol w:w="565"/>
        <w:gridCol w:w="565"/>
        <w:gridCol w:w="565"/>
        <w:gridCol w:w="565"/>
      </w:tblGrid>
      <w:tr w:rsidR="00A526BF" w:rsidRPr="00FE3805" w:rsidTr="008439DB">
        <w:tc>
          <w:tcPr>
            <w:tcW w:w="1502" w:type="dxa"/>
          </w:tcPr>
          <w:p w:rsidR="00A526BF" w:rsidRPr="00FE3805" w:rsidRDefault="00A526BF" w:rsidP="008439DB">
            <w:pPr>
              <w:jc w:val="both"/>
              <w:rPr>
                <w:color w:val="000000" w:themeColor="text1"/>
                <w:lang w:val="en-US"/>
              </w:rPr>
            </w:pPr>
            <w:r w:rsidRPr="00FE3805">
              <w:rPr>
                <w:color w:val="000000" w:themeColor="text1"/>
                <w:lang w:val="en-US"/>
              </w:rPr>
              <w:t>Council</w:t>
            </w:r>
          </w:p>
        </w:tc>
        <w:tc>
          <w:tcPr>
            <w:tcW w:w="1502" w:type="dxa"/>
          </w:tcPr>
          <w:p w:rsidR="00A526BF" w:rsidRPr="00FE3805" w:rsidRDefault="00A526BF" w:rsidP="008439DB">
            <w:pPr>
              <w:jc w:val="both"/>
              <w:rPr>
                <w:color w:val="000000" w:themeColor="text1"/>
                <w:lang w:val="en-US"/>
              </w:rPr>
            </w:pPr>
            <w:r w:rsidRPr="00FE3805">
              <w:rPr>
                <w:color w:val="000000" w:themeColor="text1"/>
                <w:lang w:val="en-US"/>
              </w:rPr>
              <w:t>2018</w:t>
            </w:r>
          </w:p>
        </w:tc>
        <w:tc>
          <w:tcPr>
            <w:tcW w:w="1503" w:type="dxa"/>
          </w:tcPr>
          <w:p w:rsidR="00A526BF" w:rsidRPr="00FE3805" w:rsidRDefault="00A526BF" w:rsidP="008439DB">
            <w:pPr>
              <w:jc w:val="both"/>
              <w:rPr>
                <w:color w:val="000000" w:themeColor="text1"/>
                <w:lang w:val="en-US"/>
              </w:rPr>
            </w:pPr>
            <w:r w:rsidRPr="00FE3805">
              <w:rPr>
                <w:color w:val="000000" w:themeColor="text1"/>
                <w:lang w:val="en-US"/>
              </w:rPr>
              <w:t>2019</w:t>
            </w:r>
          </w:p>
        </w:tc>
        <w:tc>
          <w:tcPr>
            <w:tcW w:w="1503" w:type="dxa"/>
          </w:tcPr>
          <w:p w:rsidR="00A526BF" w:rsidRPr="00FE3805" w:rsidRDefault="00A526BF" w:rsidP="008439DB">
            <w:pPr>
              <w:jc w:val="both"/>
              <w:rPr>
                <w:color w:val="000000" w:themeColor="text1"/>
                <w:lang w:val="en-US"/>
              </w:rPr>
            </w:pPr>
            <w:r w:rsidRPr="00FE3805">
              <w:rPr>
                <w:color w:val="000000" w:themeColor="text1"/>
                <w:lang w:val="en-US"/>
              </w:rPr>
              <w:t>2020</w:t>
            </w:r>
          </w:p>
        </w:tc>
        <w:tc>
          <w:tcPr>
            <w:tcW w:w="1503" w:type="dxa"/>
          </w:tcPr>
          <w:p w:rsidR="00A526BF" w:rsidRPr="00FE3805" w:rsidRDefault="00A526BF" w:rsidP="008439DB">
            <w:pPr>
              <w:jc w:val="both"/>
              <w:rPr>
                <w:color w:val="000000" w:themeColor="text1"/>
                <w:lang w:val="en-US"/>
              </w:rPr>
            </w:pPr>
            <w:r w:rsidRPr="00FE3805">
              <w:rPr>
                <w:color w:val="000000" w:themeColor="text1"/>
                <w:lang w:val="en-US"/>
              </w:rPr>
              <w:t>2021</w:t>
            </w:r>
          </w:p>
        </w:tc>
        <w:tc>
          <w:tcPr>
            <w:tcW w:w="1503" w:type="dxa"/>
          </w:tcPr>
          <w:p w:rsidR="00A526BF" w:rsidRPr="003147A4" w:rsidRDefault="00A526BF" w:rsidP="008439DB">
            <w:pPr>
              <w:jc w:val="both"/>
              <w:rPr>
                <w:color w:val="000000" w:themeColor="text1"/>
                <w:lang w:val="en-US"/>
              </w:rPr>
            </w:pPr>
            <w:r w:rsidRPr="003147A4">
              <w:rPr>
                <w:color w:val="000000" w:themeColor="text1"/>
                <w:lang w:val="en-US"/>
              </w:rPr>
              <w:t>2022</w:t>
            </w:r>
          </w:p>
        </w:tc>
      </w:tr>
      <w:tr w:rsidR="00A526BF" w:rsidRPr="00FE3805" w:rsidTr="008439DB">
        <w:tc>
          <w:tcPr>
            <w:tcW w:w="1502" w:type="dxa"/>
          </w:tcPr>
          <w:p w:rsidR="00A526BF" w:rsidRPr="00FE3805" w:rsidRDefault="00A526BF" w:rsidP="008439DB">
            <w:pPr>
              <w:jc w:val="both"/>
              <w:rPr>
                <w:color w:val="000000" w:themeColor="text1"/>
                <w:lang w:val="en-US"/>
              </w:rPr>
            </w:pPr>
            <w:r w:rsidRPr="00FE3805">
              <w:rPr>
                <w:color w:val="000000" w:themeColor="text1"/>
                <w:lang w:val="en-US"/>
              </w:rPr>
              <w:t>Antrim &amp; Newtownabbey</w:t>
            </w:r>
          </w:p>
        </w:tc>
        <w:tc>
          <w:tcPr>
            <w:tcW w:w="1502" w:type="dxa"/>
          </w:tcPr>
          <w:p w:rsidR="00A526BF" w:rsidRPr="00FE3805" w:rsidRDefault="00A526BF" w:rsidP="008439DB">
            <w:pPr>
              <w:jc w:val="both"/>
              <w:rPr>
                <w:color w:val="000000" w:themeColor="text1"/>
                <w:lang w:val="en-US"/>
              </w:rPr>
            </w:pPr>
            <w:r w:rsidRPr="00FE3805">
              <w:rPr>
                <w:color w:val="000000" w:themeColor="text1"/>
                <w:lang w:val="en-US"/>
              </w:rPr>
              <w:t>0</w:t>
            </w:r>
          </w:p>
        </w:tc>
        <w:tc>
          <w:tcPr>
            <w:tcW w:w="1503" w:type="dxa"/>
          </w:tcPr>
          <w:p w:rsidR="00A526BF" w:rsidRPr="00FE3805" w:rsidRDefault="00A526BF" w:rsidP="008439DB">
            <w:pPr>
              <w:jc w:val="both"/>
              <w:rPr>
                <w:color w:val="000000" w:themeColor="text1"/>
                <w:lang w:val="en-US"/>
              </w:rPr>
            </w:pPr>
            <w:r w:rsidRPr="00FE3805">
              <w:rPr>
                <w:color w:val="000000" w:themeColor="text1"/>
                <w:lang w:val="en-US"/>
              </w:rPr>
              <w:t>0</w:t>
            </w:r>
          </w:p>
        </w:tc>
        <w:tc>
          <w:tcPr>
            <w:tcW w:w="1503" w:type="dxa"/>
          </w:tcPr>
          <w:p w:rsidR="00A526BF" w:rsidRPr="00FE3805" w:rsidRDefault="00A526BF" w:rsidP="008439DB">
            <w:pPr>
              <w:jc w:val="both"/>
              <w:rPr>
                <w:color w:val="000000" w:themeColor="text1"/>
                <w:lang w:val="en-US"/>
              </w:rPr>
            </w:pPr>
            <w:r w:rsidRPr="00FE3805">
              <w:rPr>
                <w:color w:val="000000" w:themeColor="text1"/>
                <w:lang w:val="en-US"/>
              </w:rPr>
              <w:t>0</w:t>
            </w:r>
          </w:p>
        </w:tc>
        <w:tc>
          <w:tcPr>
            <w:tcW w:w="1503" w:type="dxa"/>
          </w:tcPr>
          <w:p w:rsidR="00A526BF" w:rsidRPr="00FE3805" w:rsidRDefault="00A526BF" w:rsidP="008439DB">
            <w:pPr>
              <w:jc w:val="both"/>
              <w:rPr>
                <w:color w:val="000000" w:themeColor="text1"/>
                <w:lang w:val="en-US"/>
              </w:rPr>
            </w:pPr>
            <w:r w:rsidRPr="00FE3805">
              <w:rPr>
                <w:color w:val="000000" w:themeColor="text1"/>
                <w:lang w:val="en-US"/>
              </w:rPr>
              <w:t>0</w:t>
            </w:r>
          </w:p>
        </w:tc>
        <w:tc>
          <w:tcPr>
            <w:tcW w:w="1503" w:type="dxa"/>
          </w:tcPr>
          <w:p w:rsidR="00A526BF" w:rsidRPr="003147A4" w:rsidRDefault="00A526BF" w:rsidP="008439DB">
            <w:pPr>
              <w:jc w:val="both"/>
              <w:rPr>
                <w:color w:val="000000" w:themeColor="text1"/>
                <w:lang w:val="en-US"/>
              </w:rPr>
            </w:pPr>
            <w:r w:rsidRPr="003147A4">
              <w:rPr>
                <w:color w:val="000000" w:themeColor="text1"/>
                <w:lang w:val="en-US"/>
              </w:rPr>
              <w:t>0</w:t>
            </w:r>
          </w:p>
        </w:tc>
      </w:tr>
      <w:tr w:rsidR="00A526BF" w:rsidRPr="00FE3805" w:rsidTr="008439DB">
        <w:tc>
          <w:tcPr>
            <w:tcW w:w="1502" w:type="dxa"/>
          </w:tcPr>
          <w:p w:rsidR="00A526BF" w:rsidRPr="00FE3805" w:rsidRDefault="00A526BF" w:rsidP="008439DB">
            <w:pPr>
              <w:jc w:val="both"/>
              <w:rPr>
                <w:color w:val="000000" w:themeColor="text1"/>
                <w:lang w:val="en-US"/>
              </w:rPr>
            </w:pPr>
            <w:proofErr w:type="spellStart"/>
            <w:r w:rsidRPr="00FE3805">
              <w:rPr>
                <w:color w:val="000000" w:themeColor="text1"/>
                <w:lang w:val="en-US"/>
              </w:rPr>
              <w:t>Ards</w:t>
            </w:r>
            <w:proofErr w:type="spellEnd"/>
            <w:r w:rsidRPr="00FE3805">
              <w:rPr>
                <w:color w:val="000000" w:themeColor="text1"/>
                <w:lang w:val="en-US"/>
              </w:rPr>
              <w:t xml:space="preserve"> &amp; North Down</w:t>
            </w:r>
          </w:p>
        </w:tc>
        <w:tc>
          <w:tcPr>
            <w:tcW w:w="1502" w:type="dxa"/>
          </w:tcPr>
          <w:p w:rsidR="00A526BF" w:rsidRPr="00FE3805" w:rsidRDefault="00A526BF" w:rsidP="008439DB">
            <w:pPr>
              <w:jc w:val="both"/>
              <w:rPr>
                <w:color w:val="000000" w:themeColor="text1"/>
                <w:lang w:val="en-US"/>
              </w:rPr>
            </w:pPr>
            <w:r w:rsidRPr="00FE3805">
              <w:rPr>
                <w:color w:val="000000" w:themeColor="text1"/>
                <w:lang w:val="en-US"/>
              </w:rPr>
              <w:t>0</w:t>
            </w:r>
          </w:p>
        </w:tc>
        <w:tc>
          <w:tcPr>
            <w:tcW w:w="1503" w:type="dxa"/>
          </w:tcPr>
          <w:p w:rsidR="00A526BF" w:rsidRPr="00FE3805" w:rsidRDefault="00A526BF" w:rsidP="008439DB">
            <w:pPr>
              <w:jc w:val="both"/>
              <w:rPr>
                <w:color w:val="000000" w:themeColor="text1"/>
                <w:lang w:val="en-US"/>
              </w:rPr>
            </w:pPr>
            <w:r w:rsidRPr="00FE3805">
              <w:rPr>
                <w:color w:val="000000" w:themeColor="text1"/>
                <w:lang w:val="en-US"/>
              </w:rPr>
              <w:t>0</w:t>
            </w:r>
          </w:p>
        </w:tc>
        <w:tc>
          <w:tcPr>
            <w:tcW w:w="1503" w:type="dxa"/>
          </w:tcPr>
          <w:p w:rsidR="00A526BF" w:rsidRPr="00FE3805" w:rsidRDefault="00A526BF" w:rsidP="008439DB">
            <w:pPr>
              <w:jc w:val="both"/>
              <w:rPr>
                <w:color w:val="000000" w:themeColor="text1"/>
                <w:lang w:val="en-US"/>
              </w:rPr>
            </w:pPr>
            <w:r w:rsidRPr="00FE3805">
              <w:rPr>
                <w:color w:val="000000" w:themeColor="text1"/>
                <w:lang w:val="en-US"/>
              </w:rPr>
              <w:t>0</w:t>
            </w:r>
          </w:p>
        </w:tc>
        <w:tc>
          <w:tcPr>
            <w:tcW w:w="1503" w:type="dxa"/>
          </w:tcPr>
          <w:p w:rsidR="00A526BF" w:rsidRPr="00FE3805" w:rsidRDefault="00A526BF" w:rsidP="008439DB">
            <w:pPr>
              <w:jc w:val="both"/>
              <w:rPr>
                <w:color w:val="000000" w:themeColor="text1"/>
                <w:lang w:val="en-US"/>
              </w:rPr>
            </w:pPr>
            <w:r w:rsidRPr="00FE3805">
              <w:rPr>
                <w:color w:val="000000" w:themeColor="text1"/>
                <w:lang w:val="en-US"/>
              </w:rPr>
              <w:t>0</w:t>
            </w:r>
          </w:p>
        </w:tc>
        <w:tc>
          <w:tcPr>
            <w:tcW w:w="1503" w:type="dxa"/>
          </w:tcPr>
          <w:p w:rsidR="00A526BF" w:rsidRPr="003147A4" w:rsidRDefault="00A526BF" w:rsidP="008439DB">
            <w:pPr>
              <w:jc w:val="both"/>
              <w:rPr>
                <w:color w:val="000000" w:themeColor="text1"/>
                <w:lang w:val="en-US"/>
              </w:rPr>
            </w:pPr>
            <w:r w:rsidRPr="003147A4">
              <w:rPr>
                <w:color w:val="000000" w:themeColor="text1"/>
                <w:lang w:val="en-US"/>
              </w:rPr>
              <w:t>0</w:t>
            </w:r>
          </w:p>
        </w:tc>
        <w:bookmarkStart w:id="1" w:name="_GoBack"/>
        <w:bookmarkEnd w:id="1"/>
      </w:tr>
      <w:tr w:rsidR="00A526BF" w:rsidRPr="00FE3805" w:rsidTr="008439DB">
        <w:tc>
          <w:tcPr>
            <w:tcW w:w="1502" w:type="dxa"/>
          </w:tcPr>
          <w:p w:rsidR="00A526BF" w:rsidRPr="00FE3805" w:rsidRDefault="00A526BF" w:rsidP="008439DB">
            <w:pPr>
              <w:jc w:val="both"/>
              <w:rPr>
                <w:color w:val="000000" w:themeColor="text1"/>
                <w:lang w:val="en-US"/>
              </w:rPr>
            </w:pPr>
            <w:proofErr w:type="spellStart"/>
            <w:r w:rsidRPr="00FE3805">
              <w:rPr>
                <w:color w:val="000000" w:themeColor="text1"/>
                <w:lang w:val="en-US"/>
              </w:rPr>
              <w:t>Armagh</w:t>
            </w:r>
            <w:proofErr w:type="spellEnd"/>
            <w:r w:rsidRPr="00FE3805">
              <w:rPr>
                <w:color w:val="000000" w:themeColor="text1"/>
                <w:lang w:val="en-US"/>
              </w:rPr>
              <w:t xml:space="preserve">, </w:t>
            </w:r>
            <w:proofErr w:type="spellStart"/>
            <w:r w:rsidRPr="00FE3805">
              <w:rPr>
                <w:color w:val="000000" w:themeColor="text1"/>
                <w:lang w:val="en-US"/>
              </w:rPr>
              <w:t>Banbridge</w:t>
            </w:r>
            <w:proofErr w:type="spellEnd"/>
            <w:r w:rsidRPr="00FE3805">
              <w:rPr>
                <w:color w:val="000000" w:themeColor="text1"/>
                <w:lang w:val="en-US"/>
              </w:rPr>
              <w:t xml:space="preserve"> &amp; Craigavon</w:t>
            </w:r>
          </w:p>
        </w:tc>
        <w:tc>
          <w:tcPr>
            <w:tcW w:w="1502" w:type="dxa"/>
          </w:tcPr>
          <w:p w:rsidR="00A526BF" w:rsidRPr="00FE3805" w:rsidRDefault="00A526BF" w:rsidP="008439DB">
            <w:pPr>
              <w:jc w:val="both"/>
              <w:rPr>
                <w:color w:val="000000" w:themeColor="text1"/>
                <w:lang w:val="en-US"/>
              </w:rPr>
            </w:pPr>
            <w:r w:rsidRPr="00FE3805">
              <w:rPr>
                <w:color w:val="000000" w:themeColor="text1"/>
                <w:lang w:val="en-US"/>
              </w:rPr>
              <w:t>0</w:t>
            </w:r>
          </w:p>
        </w:tc>
        <w:tc>
          <w:tcPr>
            <w:tcW w:w="1503" w:type="dxa"/>
          </w:tcPr>
          <w:p w:rsidR="00A526BF" w:rsidRPr="00FE3805" w:rsidRDefault="00A526BF" w:rsidP="008439DB">
            <w:pPr>
              <w:jc w:val="both"/>
              <w:rPr>
                <w:color w:val="000000" w:themeColor="text1"/>
                <w:lang w:val="en-US"/>
              </w:rPr>
            </w:pPr>
            <w:r w:rsidRPr="00FE3805">
              <w:rPr>
                <w:color w:val="000000" w:themeColor="text1"/>
                <w:lang w:val="en-US"/>
              </w:rPr>
              <w:t>4</w:t>
            </w:r>
          </w:p>
        </w:tc>
        <w:tc>
          <w:tcPr>
            <w:tcW w:w="1503" w:type="dxa"/>
          </w:tcPr>
          <w:p w:rsidR="00A526BF" w:rsidRPr="00FE3805" w:rsidRDefault="00A526BF" w:rsidP="008439DB">
            <w:pPr>
              <w:jc w:val="both"/>
              <w:rPr>
                <w:color w:val="000000" w:themeColor="text1"/>
                <w:lang w:val="en-US"/>
              </w:rPr>
            </w:pPr>
            <w:r w:rsidRPr="00FE3805">
              <w:rPr>
                <w:color w:val="000000" w:themeColor="text1"/>
                <w:lang w:val="en-US"/>
              </w:rPr>
              <w:t>0</w:t>
            </w:r>
          </w:p>
        </w:tc>
        <w:tc>
          <w:tcPr>
            <w:tcW w:w="1503" w:type="dxa"/>
          </w:tcPr>
          <w:p w:rsidR="00A526BF" w:rsidRPr="00FE3805" w:rsidRDefault="00A526BF" w:rsidP="008439DB">
            <w:pPr>
              <w:jc w:val="both"/>
              <w:rPr>
                <w:color w:val="000000" w:themeColor="text1"/>
                <w:lang w:val="en-US"/>
              </w:rPr>
            </w:pPr>
            <w:r w:rsidRPr="00FE3805">
              <w:rPr>
                <w:color w:val="000000" w:themeColor="text1"/>
                <w:lang w:val="en-US"/>
              </w:rPr>
              <w:t>1</w:t>
            </w:r>
          </w:p>
        </w:tc>
        <w:tc>
          <w:tcPr>
            <w:tcW w:w="1503" w:type="dxa"/>
          </w:tcPr>
          <w:p w:rsidR="00A526BF" w:rsidRPr="003147A4" w:rsidRDefault="00A526BF" w:rsidP="008439DB">
            <w:pPr>
              <w:jc w:val="both"/>
              <w:rPr>
                <w:color w:val="000000" w:themeColor="text1"/>
                <w:lang w:val="en-US"/>
              </w:rPr>
            </w:pPr>
            <w:r w:rsidRPr="003147A4">
              <w:rPr>
                <w:color w:val="000000" w:themeColor="text1"/>
                <w:lang w:val="en-US"/>
              </w:rPr>
              <w:t>1</w:t>
            </w:r>
          </w:p>
        </w:tc>
      </w:tr>
      <w:tr w:rsidR="00A526BF" w:rsidRPr="00FE3805" w:rsidTr="008439DB">
        <w:tc>
          <w:tcPr>
            <w:tcW w:w="1502" w:type="dxa"/>
          </w:tcPr>
          <w:p w:rsidR="00A526BF" w:rsidRPr="00FE3805" w:rsidRDefault="00A526BF" w:rsidP="008439DB">
            <w:pPr>
              <w:jc w:val="both"/>
              <w:rPr>
                <w:color w:val="000000" w:themeColor="text1"/>
                <w:lang w:val="en-US"/>
              </w:rPr>
            </w:pPr>
            <w:r w:rsidRPr="00FE3805">
              <w:rPr>
                <w:color w:val="000000" w:themeColor="text1"/>
                <w:lang w:val="en-US"/>
              </w:rPr>
              <w:t>Belfast</w:t>
            </w:r>
          </w:p>
        </w:tc>
        <w:tc>
          <w:tcPr>
            <w:tcW w:w="1502" w:type="dxa"/>
          </w:tcPr>
          <w:p w:rsidR="00A526BF" w:rsidRPr="00FE3805" w:rsidRDefault="00A526BF" w:rsidP="008439DB">
            <w:pPr>
              <w:jc w:val="both"/>
              <w:rPr>
                <w:color w:val="000000" w:themeColor="text1"/>
                <w:lang w:val="en-US"/>
              </w:rPr>
            </w:pPr>
            <w:r w:rsidRPr="00FE3805">
              <w:rPr>
                <w:color w:val="000000" w:themeColor="text1"/>
                <w:lang w:val="en-US"/>
              </w:rPr>
              <w:t>16</w:t>
            </w:r>
          </w:p>
        </w:tc>
        <w:tc>
          <w:tcPr>
            <w:tcW w:w="1503" w:type="dxa"/>
          </w:tcPr>
          <w:p w:rsidR="00A526BF" w:rsidRPr="00FE3805" w:rsidRDefault="00A526BF" w:rsidP="008439DB">
            <w:pPr>
              <w:jc w:val="both"/>
              <w:rPr>
                <w:color w:val="000000" w:themeColor="text1"/>
                <w:lang w:val="en-US"/>
              </w:rPr>
            </w:pPr>
            <w:r w:rsidRPr="00FE3805">
              <w:rPr>
                <w:color w:val="000000" w:themeColor="text1"/>
                <w:lang w:val="en-US"/>
              </w:rPr>
              <w:t>28</w:t>
            </w:r>
          </w:p>
        </w:tc>
        <w:tc>
          <w:tcPr>
            <w:tcW w:w="1503" w:type="dxa"/>
          </w:tcPr>
          <w:p w:rsidR="00A526BF" w:rsidRPr="00FE3805" w:rsidRDefault="00A526BF" w:rsidP="008439DB">
            <w:pPr>
              <w:jc w:val="both"/>
              <w:rPr>
                <w:color w:val="000000" w:themeColor="text1"/>
                <w:lang w:val="en-US"/>
              </w:rPr>
            </w:pPr>
            <w:r w:rsidRPr="00FE3805">
              <w:rPr>
                <w:color w:val="000000" w:themeColor="text1"/>
                <w:lang w:val="en-US"/>
              </w:rPr>
              <w:t>10</w:t>
            </w:r>
          </w:p>
        </w:tc>
        <w:tc>
          <w:tcPr>
            <w:tcW w:w="1503" w:type="dxa"/>
          </w:tcPr>
          <w:p w:rsidR="00A526BF" w:rsidRPr="00FE3805" w:rsidRDefault="00A526BF" w:rsidP="008439DB">
            <w:pPr>
              <w:jc w:val="both"/>
              <w:rPr>
                <w:color w:val="000000" w:themeColor="text1"/>
                <w:lang w:val="en-US"/>
              </w:rPr>
            </w:pPr>
            <w:r w:rsidRPr="00FE3805">
              <w:rPr>
                <w:color w:val="000000" w:themeColor="text1"/>
                <w:lang w:val="en-US"/>
              </w:rPr>
              <w:t>18</w:t>
            </w:r>
          </w:p>
        </w:tc>
        <w:tc>
          <w:tcPr>
            <w:tcW w:w="1503" w:type="dxa"/>
          </w:tcPr>
          <w:p w:rsidR="00A526BF" w:rsidRPr="003147A4" w:rsidRDefault="00A526BF" w:rsidP="008439DB">
            <w:pPr>
              <w:jc w:val="both"/>
              <w:rPr>
                <w:color w:val="000000" w:themeColor="text1"/>
                <w:lang w:val="en-US"/>
              </w:rPr>
            </w:pPr>
            <w:r w:rsidRPr="003147A4">
              <w:rPr>
                <w:color w:val="000000" w:themeColor="text1"/>
                <w:lang w:val="en-US"/>
              </w:rPr>
              <w:t>26</w:t>
            </w:r>
          </w:p>
        </w:tc>
      </w:tr>
      <w:tr w:rsidR="00A526BF" w:rsidRPr="00FE3805" w:rsidTr="008439DB">
        <w:tc>
          <w:tcPr>
            <w:tcW w:w="1502" w:type="dxa"/>
          </w:tcPr>
          <w:p w:rsidR="00A526BF" w:rsidRPr="00FE3805" w:rsidRDefault="00A526BF" w:rsidP="008439DB">
            <w:pPr>
              <w:jc w:val="both"/>
              <w:rPr>
                <w:color w:val="000000" w:themeColor="text1"/>
                <w:lang w:val="en-US"/>
              </w:rPr>
            </w:pPr>
            <w:r w:rsidRPr="00FE3805">
              <w:rPr>
                <w:color w:val="000000" w:themeColor="text1"/>
                <w:lang w:val="en-US"/>
              </w:rPr>
              <w:t>Causeway Coast &amp; Glen</w:t>
            </w:r>
          </w:p>
        </w:tc>
        <w:tc>
          <w:tcPr>
            <w:tcW w:w="1502" w:type="dxa"/>
          </w:tcPr>
          <w:p w:rsidR="00A526BF" w:rsidRPr="00FE3805" w:rsidRDefault="00A526BF" w:rsidP="008439DB">
            <w:pPr>
              <w:jc w:val="both"/>
              <w:rPr>
                <w:color w:val="000000" w:themeColor="text1"/>
                <w:lang w:val="en-US"/>
              </w:rPr>
            </w:pPr>
            <w:r w:rsidRPr="00FE3805">
              <w:rPr>
                <w:color w:val="000000" w:themeColor="text1"/>
                <w:lang w:val="en-US"/>
              </w:rPr>
              <w:t>4</w:t>
            </w:r>
          </w:p>
        </w:tc>
        <w:tc>
          <w:tcPr>
            <w:tcW w:w="1503" w:type="dxa"/>
          </w:tcPr>
          <w:p w:rsidR="00A526BF" w:rsidRPr="00FE3805" w:rsidRDefault="00A526BF" w:rsidP="008439DB">
            <w:pPr>
              <w:jc w:val="both"/>
              <w:rPr>
                <w:color w:val="000000" w:themeColor="text1"/>
                <w:lang w:val="en-US"/>
              </w:rPr>
            </w:pPr>
            <w:r w:rsidRPr="00FE3805">
              <w:rPr>
                <w:color w:val="000000" w:themeColor="text1"/>
                <w:lang w:val="en-US"/>
              </w:rPr>
              <w:t>0</w:t>
            </w:r>
          </w:p>
        </w:tc>
        <w:tc>
          <w:tcPr>
            <w:tcW w:w="1503" w:type="dxa"/>
          </w:tcPr>
          <w:p w:rsidR="00A526BF" w:rsidRPr="00FE3805" w:rsidRDefault="00A526BF" w:rsidP="008439DB">
            <w:pPr>
              <w:jc w:val="both"/>
              <w:rPr>
                <w:color w:val="000000" w:themeColor="text1"/>
                <w:lang w:val="en-US"/>
              </w:rPr>
            </w:pPr>
            <w:r w:rsidRPr="00FE3805">
              <w:rPr>
                <w:color w:val="000000" w:themeColor="text1"/>
                <w:lang w:val="en-US"/>
              </w:rPr>
              <w:t>0</w:t>
            </w:r>
          </w:p>
        </w:tc>
        <w:tc>
          <w:tcPr>
            <w:tcW w:w="1503" w:type="dxa"/>
          </w:tcPr>
          <w:p w:rsidR="00A526BF" w:rsidRPr="00FE3805" w:rsidRDefault="00A526BF" w:rsidP="008439DB">
            <w:pPr>
              <w:jc w:val="both"/>
              <w:rPr>
                <w:color w:val="000000" w:themeColor="text1"/>
                <w:lang w:val="en-US"/>
              </w:rPr>
            </w:pPr>
            <w:r w:rsidRPr="00FE3805">
              <w:rPr>
                <w:color w:val="000000" w:themeColor="text1"/>
                <w:lang w:val="en-US"/>
              </w:rPr>
              <w:t>0</w:t>
            </w:r>
          </w:p>
        </w:tc>
        <w:tc>
          <w:tcPr>
            <w:tcW w:w="1503" w:type="dxa"/>
          </w:tcPr>
          <w:p w:rsidR="00A526BF" w:rsidRPr="003147A4" w:rsidRDefault="00A526BF" w:rsidP="008439DB">
            <w:pPr>
              <w:jc w:val="both"/>
              <w:rPr>
                <w:color w:val="000000" w:themeColor="text1"/>
                <w:lang w:val="en-US"/>
              </w:rPr>
            </w:pPr>
            <w:r w:rsidRPr="003147A4">
              <w:rPr>
                <w:color w:val="000000" w:themeColor="text1"/>
                <w:lang w:val="en-US"/>
              </w:rPr>
              <w:t>0</w:t>
            </w:r>
          </w:p>
        </w:tc>
      </w:tr>
      <w:tr w:rsidR="00A526BF" w:rsidRPr="00FE3805" w:rsidTr="008439DB">
        <w:tc>
          <w:tcPr>
            <w:tcW w:w="1502" w:type="dxa"/>
          </w:tcPr>
          <w:p w:rsidR="00A526BF" w:rsidRPr="00FE3805" w:rsidRDefault="00A526BF" w:rsidP="008439DB">
            <w:pPr>
              <w:jc w:val="both"/>
              <w:rPr>
                <w:color w:val="000000" w:themeColor="text1"/>
                <w:lang w:val="en-US"/>
              </w:rPr>
            </w:pPr>
            <w:r w:rsidRPr="00FE3805">
              <w:rPr>
                <w:color w:val="000000" w:themeColor="text1"/>
                <w:lang w:val="en-US"/>
              </w:rPr>
              <w:t>Derry City &amp; Strabane</w:t>
            </w:r>
          </w:p>
        </w:tc>
        <w:tc>
          <w:tcPr>
            <w:tcW w:w="1502" w:type="dxa"/>
          </w:tcPr>
          <w:p w:rsidR="00A526BF" w:rsidRPr="00FE3805" w:rsidRDefault="00A526BF" w:rsidP="008439DB">
            <w:pPr>
              <w:jc w:val="both"/>
              <w:rPr>
                <w:color w:val="000000" w:themeColor="text1"/>
                <w:lang w:val="en-US"/>
              </w:rPr>
            </w:pPr>
            <w:r w:rsidRPr="00FE3805">
              <w:rPr>
                <w:color w:val="000000" w:themeColor="text1"/>
                <w:lang w:val="en-US"/>
              </w:rPr>
              <w:t>13</w:t>
            </w:r>
          </w:p>
        </w:tc>
        <w:tc>
          <w:tcPr>
            <w:tcW w:w="1503" w:type="dxa"/>
          </w:tcPr>
          <w:p w:rsidR="00A526BF" w:rsidRPr="00FE3805" w:rsidRDefault="00A526BF" w:rsidP="008439DB">
            <w:pPr>
              <w:jc w:val="both"/>
              <w:rPr>
                <w:color w:val="000000" w:themeColor="text1"/>
                <w:lang w:val="en-US"/>
              </w:rPr>
            </w:pPr>
            <w:r w:rsidRPr="00FE3805">
              <w:rPr>
                <w:color w:val="000000" w:themeColor="text1"/>
                <w:lang w:val="en-US"/>
              </w:rPr>
              <w:t>1</w:t>
            </w:r>
          </w:p>
        </w:tc>
        <w:tc>
          <w:tcPr>
            <w:tcW w:w="1503" w:type="dxa"/>
          </w:tcPr>
          <w:p w:rsidR="00A526BF" w:rsidRPr="00FE3805" w:rsidRDefault="00A526BF" w:rsidP="008439DB">
            <w:pPr>
              <w:jc w:val="both"/>
              <w:rPr>
                <w:color w:val="000000" w:themeColor="text1"/>
                <w:lang w:val="en-US"/>
              </w:rPr>
            </w:pPr>
            <w:r w:rsidRPr="00FE3805">
              <w:rPr>
                <w:color w:val="000000" w:themeColor="text1"/>
                <w:lang w:val="en-US"/>
              </w:rPr>
              <w:t>2</w:t>
            </w:r>
          </w:p>
        </w:tc>
        <w:tc>
          <w:tcPr>
            <w:tcW w:w="1503" w:type="dxa"/>
          </w:tcPr>
          <w:p w:rsidR="00A526BF" w:rsidRPr="00FE3805" w:rsidRDefault="00A526BF" w:rsidP="008439DB">
            <w:pPr>
              <w:jc w:val="both"/>
              <w:rPr>
                <w:color w:val="000000" w:themeColor="text1"/>
                <w:lang w:val="en-US"/>
              </w:rPr>
            </w:pPr>
            <w:r w:rsidRPr="00FE3805">
              <w:rPr>
                <w:color w:val="000000" w:themeColor="text1"/>
                <w:lang w:val="en-US"/>
              </w:rPr>
              <w:t>0</w:t>
            </w:r>
          </w:p>
        </w:tc>
        <w:tc>
          <w:tcPr>
            <w:tcW w:w="1503" w:type="dxa"/>
          </w:tcPr>
          <w:p w:rsidR="00A526BF" w:rsidRPr="003147A4" w:rsidRDefault="00A526BF" w:rsidP="008439DB">
            <w:pPr>
              <w:jc w:val="both"/>
              <w:rPr>
                <w:color w:val="000000" w:themeColor="text1"/>
                <w:lang w:val="en-US"/>
              </w:rPr>
            </w:pPr>
            <w:r w:rsidRPr="003147A4">
              <w:rPr>
                <w:color w:val="000000" w:themeColor="text1"/>
                <w:lang w:val="en-US"/>
              </w:rPr>
              <w:t>2</w:t>
            </w:r>
          </w:p>
        </w:tc>
      </w:tr>
      <w:tr w:rsidR="00A526BF" w:rsidRPr="00FE3805" w:rsidTr="008439DB">
        <w:tc>
          <w:tcPr>
            <w:tcW w:w="1502" w:type="dxa"/>
          </w:tcPr>
          <w:p w:rsidR="00A526BF" w:rsidRPr="00FE3805" w:rsidRDefault="00A526BF" w:rsidP="008439DB">
            <w:pPr>
              <w:jc w:val="both"/>
              <w:rPr>
                <w:color w:val="000000" w:themeColor="text1"/>
                <w:lang w:val="en-US"/>
              </w:rPr>
            </w:pPr>
            <w:proofErr w:type="spellStart"/>
            <w:r w:rsidRPr="00FE3805">
              <w:rPr>
                <w:color w:val="000000" w:themeColor="text1"/>
                <w:lang w:val="en-US"/>
              </w:rPr>
              <w:t>Fermanagh</w:t>
            </w:r>
            <w:proofErr w:type="spellEnd"/>
            <w:r w:rsidRPr="00FE3805">
              <w:rPr>
                <w:color w:val="000000" w:themeColor="text1"/>
                <w:lang w:val="en-US"/>
              </w:rPr>
              <w:t xml:space="preserve"> &amp; Omagh</w:t>
            </w:r>
          </w:p>
        </w:tc>
        <w:tc>
          <w:tcPr>
            <w:tcW w:w="1502" w:type="dxa"/>
          </w:tcPr>
          <w:p w:rsidR="00A526BF" w:rsidRPr="00FE3805" w:rsidRDefault="00A526BF" w:rsidP="008439DB">
            <w:pPr>
              <w:jc w:val="both"/>
              <w:rPr>
                <w:color w:val="000000" w:themeColor="text1"/>
                <w:lang w:val="en-US"/>
              </w:rPr>
            </w:pPr>
            <w:r w:rsidRPr="00FE3805">
              <w:rPr>
                <w:color w:val="000000" w:themeColor="text1"/>
                <w:lang w:val="en-US"/>
              </w:rPr>
              <w:t>0</w:t>
            </w:r>
          </w:p>
        </w:tc>
        <w:tc>
          <w:tcPr>
            <w:tcW w:w="1503" w:type="dxa"/>
          </w:tcPr>
          <w:p w:rsidR="00A526BF" w:rsidRPr="00FE3805" w:rsidRDefault="00A526BF" w:rsidP="008439DB">
            <w:pPr>
              <w:jc w:val="both"/>
              <w:rPr>
                <w:color w:val="000000" w:themeColor="text1"/>
                <w:lang w:val="en-US"/>
              </w:rPr>
            </w:pPr>
            <w:r w:rsidRPr="00FE3805">
              <w:rPr>
                <w:color w:val="000000" w:themeColor="text1"/>
                <w:lang w:val="en-US"/>
              </w:rPr>
              <w:t>1</w:t>
            </w:r>
          </w:p>
        </w:tc>
        <w:tc>
          <w:tcPr>
            <w:tcW w:w="1503" w:type="dxa"/>
          </w:tcPr>
          <w:p w:rsidR="00A526BF" w:rsidRPr="00FE3805" w:rsidRDefault="00A526BF" w:rsidP="008439DB">
            <w:pPr>
              <w:jc w:val="both"/>
              <w:rPr>
                <w:color w:val="000000" w:themeColor="text1"/>
                <w:lang w:val="en-US"/>
              </w:rPr>
            </w:pPr>
            <w:r w:rsidRPr="00FE3805">
              <w:rPr>
                <w:color w:val="000000" w:themeColor="text1"/>
                <w:lang w:val="en-US"/>
              </w:rPr>
              <w:t>0</w:t>
            </w:r>
          </w:p>
        </w:tc>
        <w:tc>
          <w:tcPr>
            <w:tcW w:w="1503" w:type="dxa"/>
          </w:tcPr>
          <w:p w:rsidR="00A526BF" w:rsidRPr="00FE3805" w:rsidRDefault="00A526BF" w:rsidP="008439DB">
            <w:pPr>
              <w:jc w:val="both"/>
              <w:rPr>
                <w:color w:val="000000" w:themeColor="text1"/>
                <w:lang w:val="en-US"/>
              </w:rPr>
            </w:pPr>
            <w:r w:rsidRPr="00FE3805">
              <w:rPr>
                <w:color w:val="000000" w:themeColor="text1"/>
                <w:lang w:val="en-US"/>
              </w:rPr>
              <w:t>0</w:t>
            </w:r>
          </w:p>
        </w:tc>
        <w:tc>
          <w:tcPr>
            <w:tcW w:w="1503" w:type="dxa"/>
          </w:tcPr>
          <w:p w:rsidR="00A526BF" w:rsidRPr="003147A4" w:rsidRDefault="00A526BF" w:rsidP="008439DB">
            <w:pPr>
              <w:jc w:val="both"/>
              <w:rPr>
                <w:color w:val="000000" w:themeColor="text1"/>
                <w:lang w:val="en-US"/>
              </w:rPr>
            </w:pPr>
            <w:r w:rsidRPr="003147A4">
              <w:rPr>
                <w:color w:val="000000" w:themeColor="text1"/>
                <w:lang w:val="en-US"/>
              </w:rPr>
              <w:t>0</w:t>
            </w:r>
          </w:p>
        </w:tc>
      </w:tr>
      <w:tr w:rsidR="00A526BF" w:rsidRPr="00FE3805" w:rsidTr="008439DB">
        <w:tc>
          <w:tcPr>
            <w:tcW w:w="1502" w:type="dxa"/>
          </w:tcPr>
          <w:p w:rsidR="00A526BF" w:rsidRPr="00FE3805" w:rsidRDefault="00A526BF" w:rsidP="008439DB">
            <w:pPr>
              <w:jc w:val="both"/>
              <w:rPr>
                <w:color w:val="000000" w:themeColor="text1"/>
                <w:lang w:val="en-US"/>
              </w:rPr>
            </w:pPr>
            <w:r w:rsidRPr="00FE3805">
              <w:rPr>
                <w:color w:val="000000" w:themeColor="text1"/>
                <w:lang w:val="en-US"/>
              </w:rPr>
              <w:t>Lisburn &amp; Castlereagh</w:t>
            </w:r>
          </w:p>
        </w:tc>
        <w:tc>
          <w:tcPr>
            <w:tcW w:w="1502" w:type="dxa"/>
          </w:tcPr>
          <w:p w:rsidR="00A526BF" w:rsidRPr="00FE3805" w:rsidRDefault="00A526BF" w:rsidP="008439DB">
            <w:pPr>
              <w:jc w:val="both"/>
              <w:rPr>
                <w:color w:val="000000" w:themeColor="text1"/>
                <w:lang w:val="en-US"/>
              </w:rPr>
            </w:pPr>
            <w:r w:rsidRPr="00FE3805">
              <w:rPr>
                <w:color w:val="000000" w:themeColor="text1"/>
                <w:lang w:val="en-US"/>
              </w:rPr>
              <w:t>0</w:t>
            </w:r>
          </w:p>
        </w:tc>
        <w:tc>
          <w:tcPr>
            <w:tcW w:w="1503" w:type="dxa"/>
          </w:tcPr>
          <w:p w:rsidR="00A526BF" w:rsidRPr="00FE3805" w:rsidRDefault="00A526BF" w:rsidP="008439DB">
            <w:pPr>
              <w:jc w:val="both"/>
              <w:rPr>
                <w:color w:val="000000" w:themeColor="text1"/>
                <w:lang w:val="en-US"/>
              </w:rPr>
            </w:pPr>
            <w:r w:rsidRPr="00FE3805">
              <w:rPr>
                <w:color w:val="000000" w:themeColor="text1"/>
                <w:lang w:val="en-US"/>
              </w:rPr>
              <w:t>0</w:t>
            </w:r>
          </w:p>
        </w:tc>
        <w:tc>
          <w:tcPr>
            <w:tcW w:w="1503" w:type="dxa"/>
          </w:tcPr>
          <w:p w:rsidR="00A526BF" w:rsidRPr="00FE3805" w:rsidRDefault="00A526BF" w:rsidP="008439DB">
            <w:pPr>
              <w:jc w:val="both"/>
              <w:rPr>
                <w:color w:val="000000" w:themeColor="text1"/>
                <w:lang w:val="en-US"/>
              </w:rPr>
            </w:pPr>
            <w:r w:rsidRPr="00FE3805">
              <w:rPr>
                <w:color w:val="000000" w:themeColor="text1"/>
                <w:lang w:val="en-US"/>
              </w:rPr>
              <w:t>0</w:t>
            </w:r>
          </w:p>
        </w:tc>
        <w:tc>
          <w:tcPr>
            <w:tcW w:w="1503" w:type="dxa"/>
          </w:tcPr>
          <w:p w:rsidR="00A526BF" w:rsidRPr="00FE3805" w:rsidRDefault="00A526BF" w:rsidP="008439DB">
            <w:pPr>
              <w:jc w:val="both"/>
              <w:rPr>
                <w:color w:val="000000" w:themeColor="text1"/>
                <w:lang w:val="en-US"/>
              </w:rPr>
            </w:pPr>
            <w:r w:rsidRPr="00FE3805">
              <w:rPr>
                <w:color w:val="000000" w:themeColor="text1"/>
                <w:lang w:val="en-US"/>
              </w:rPr>
              <w:t>0</w:t>
            </w:r>
          </w:p>
        </w:tc>
        <w:tc>
          <w:tcPr>
            <w:tcW w:w="1503" w:type="dxa"/>
          </w:tcPr>
          <w:p w:rsidR="00A526BF" w:rsidRPr="003147A4" w:rsidRDefault="00A526BF" w:rsidP="008439DB">
            <w:pPr>
              <w:jc w:val="both"/>
              <w:rPr>
                <w:color w:val="000000" w:themeColor="text1"/>
                <w:lang w:val="en-US"/>
              </w:rPr>
            </w:pPr>
            <w:r w:rsidRPr="003147A4">
              <w:rPr>
                <w:color w:val="000000" w:themeColor="text1"/>
                <w:lang w:val="en-US"/>
              </w:rPr>
              <w:t>0</w:t>
            </w:r>
          </w:p>
        </w:tc>
      </w:tr>
      <w:tr w:rsidR="00A526BF" w:rsidRPr="00FE3805" w:rsidTr="008439DB">
        <w:tc>
          <w:tcPr>
            <w:tcW w:w="1502" w:type="dxa"/>
          </w:tcPr>
          <w:p w:rsidR="00A526BF" w:rsidRPr="00FE3805" w:rsidRDefault="00A526BF" w:rsidP="008439DB">
            <w:pPr>
              <w:jc w:val="both"/>
              <w:rPr>
                <w:color w:val="000000" w:themeColor="text1"/>
                <w:lang w:val="en-US"/>
              </w:rPr>
            </w:pPr>
            <w:r w:rsidRPr="00FE3805">
              <w:rPr>
                <w:color w:val="000000" w:themeColor="text1"/>
                <w:lang w:val="en-US"/>
              </w:rPr>
              <w:t>Mid &amp; East Antrim</w:t>
            </w:r>
          </w:p>
        </w:tc>
        <w:tc>
          <w:tcPr>
            <w:tcW w:w="1502" w:type="dxa"/>
          </w:tcPr>
          <w:p w:rsidR="00A526BF" w:rsidRPr="00FE3805" w:rsidRDefault="00A526BF" w:rsidP="008439DB">
            <w:pPr>
              <w:jc w:val="both"/>
              <w:rPr>
                <w:color w:val="000000" w:themeColor="text1"/>
                <w:lang w:val="en-US"/>
              </w:rPr>
            </w:pPr>
            <w:r w:rsidRPr="00FE3805">
              <w:rPr>
                <w:color w:val="000000" w:themeColor="text1"/>
                <w:lang w:val="en-US"/>
              </w:rPr>
              <w:t>0</w:t>
            </w:r>
          </w:p>
        </w:tc>
        <w:tc>
          <w:tcPr>
            <w:tcW w:w="1503" w:type="dxa"/>
          </w:tcPr>
          <w:p w:rsidR="00A526BF" w:rsidRPr="00FE3805" w:rsidRDefault="00A526BF" w:rsidP="008439DB">
            <w:pPr>
              <w:jc w:val="both"/>
              <w:rPr>
                <w:color w:val="000000" w:themeColor="text1"/>
                <w:lang w:val="en-US"/>
              </w:rPr>
            </w:pPr>
            <w:r w:rsidRPr="00FE3805">
              <w:rPr>
                <w:color w:val="000000" w:themeColor="text1"/>
                <w:lang w:val="en-US"/>
              </w:rPr>
              <w:t>1</w:t>
            </w:r>
          </w:p>
        </w:tc>
        <w:tc>
          <w:tcPr>
            <w:tcW w:w="1503" w:type="dxa"/>
          </w:tcPr>
          <w:p w:rsidR="00A526BF" w:rsidRPr="00FE3805" w:rsidRDefault="00A526BF" w:rsidP="008439DB">
            <w:pPr>
              <w:jc w:val="both"/>
              <w:rPr>
                <w:color w:val="000000" w:themeColor="text1"/>
                <w:lang w:val="en-US"/>
              </w:rPr>
            </w:pPr>
            <w:r w:rsidRPr="00FE3805">
              <w:rPr>
                <w:color w:val="000000" w:themeColor="text1"/>
                <w:lang w:val="en-US"/>
              </w:rPr>
              <w:t>0</w:t>
            </w:r>
          </w:p>
        </w:tc>
        <w:tc>
          <w:tcPr>
            <w:tcW w:w="1503" w:type="dxa"/>
          </w:tcPr>
          <w:p w:rsidR="00A526BF" w:rsidRPr="00FE3805" w:rsidRDefault="00A526BF" w:rsidP="008439DB">
            <w:pPr>
              <w:jc w:val="both"/>
              <w:rPr>
                <w:color w:val="000000" w:themeColor="text1"/>
                <w:lang w:val="en-US"/>
              </w:rPr>
            </w:pPr>
            <w:r w:rsidRPr="00FE3805">
              <w:rPr>
                <w:color w:val="000000" w:themeColor="text1"/>
                <w:lang w:val="en-US"/>
              </w:rPr>
              <w:t>0</w:t>
            </w:r>
          </w:p>
        </w:tc>
        <w:tc>
          <w:tcPr>
            <w:tcW w:w="1503" w:type="dxa"/>
          </w:tcPr>
          <w:p w:rsidR="00A526BF" w:rsidRPr="003147A4" w:rsidRDefault="00A526BF" w:rsidP="008439DB">
            <w:pPr>
              <w:jc w:val="both"/>
              <w:rPr>
                <w:color w:val="000000" w:themeColor="text1"/>
                <w:lang w:val="en-US"/>
              </w:rPr>
            </w:pPr>
            <w:r w:rsidRPr="003147A4">
              <w:rPr>
                <w:color w:val="000000" w:themeColor="text1"/>
                <w:lang w:val="en-US"/>
              </w:rPr>
              <w:t>0</w:t>
            </w:r>
          </w:p>
        </w:tc>
      </w:tr>
      <w:tr w:rsidR="00A526BF" w:rsidRPr="00FE3805" w:rsidTr="008439DB">
        <w:tc>
          <w:tcPr>
            <w:tcW w:w="1502" w:type="dxa"/>
          </w:tcPr>
          <w:p w:rsidR="00A526BF" w:rsidRPr="00FE3805" w:rsidRDefault="00A526BF" w:rsidP="008439DB">
            <w:pPr>
              <w:jc w:val="both"/>
              <w:rPr>
                <w:color w:val="000000" w:themeColor="text1"/>
                <w:lang w:val="en-US"/>
              </w:rPr>
            </w:pPr>
            <w:r w:rsidRPr="00FE3805">
              <w:rPr>
                <w:color w:val="000000" w:themeColor="text1"/>
                <w:lang w:val="en-US"/>
              </w:rPr>
              <w:t>Mid Ulster</w:t>
            </w:r>
          </w:p>
        </w:tc>
        <w:tc>
          <w:tcPr>
            <w:tcW w:w="1502" w:type="dxa"/>
          </w:tcPr>
          <w:p w:rsidR="00A526BF" w:rsidRPr="00FE3805" w:rsidRDefault="00A526BF" w:rsidP="008439DB">
            <w:pPr>
              <w:jc w:val="both"/>
              <w:rPr>
                <w:color w:val="000000" w:themeColor="text1"/>
                <w:lang w:val="en-US"/>
              </w:rPr>
            </w:pPr>
            <w:r w:rsidRPr="00FE3805">
              <w:rPr>
                <w:color w:val="000000" w:themeColor="text1"/>
                <w:lang w:val="en-US"/>
              </w:rPr>
              <w:t>0</w:t>
            </w:r>
          </w:p>
        </w:tc>
        <w:tc>
          <w:tcPr>
            <w:tcW w:w="1503" w:type="dxa"/>
          </w:tcPr>
          <w:p w:rsidR="00A526BF" w:rsidRPr="00FE3805" w:rsidRDefault="00A526BF" w:rsidP="008439DB">
            <w:pPr>
              <w:jc w:val="both"/>
              <w:rPr>
                <w:color w:val="000000" w:themeColor="text1"/>
                <w:lang w:val="en-US"/>
              </w:rPr>
            </w:pPr>
            <w:r w:rsidRPr="00FE3805">
              <w:rPr>
                <w:color w:val="000000" w:themeColor="text1"/>
                <w:lang w:val="en-US"/>
              </w:rPr>
              <w:t>0</w:t>
            </w:r>
          </w:p>
        </w:tc>
        <w:tc>
          <w:tcPr>
            <w:tcW w:w="1503" w:type="dxa"/>
          </w:tcPr>
          <w:p w:rsidR="00A526BF" w:rsidRPr="00FE3805" w:rsidRDefault="00A526BF" w:rsidP="008439DB">
            <w:pPr>
              <w:jc w:val="both"/>
              <w:rPr>
                <w:color w:val="000000" w:themeColor="text1"/>
                <w:lang w:val="en-US"/>
              </w:rPr>
            </w:pPr>
            <w:r w:rsidRPr="00FE3805">
              <w:rPr>
                <w:color w:val="000000" w:themeColor="text1"/>
                <w:lang w:val="en-US"/>
              </w:rPr>
              <w:t>0</w:t>
            </w:r>
          </w:p>
        </w:tc>
        <w:tc>
          <w:tcPr>
            <w:tcW w:w="1503" w:type="dxa"/>
          </w:tcPr>
          <w:p w:rsidR="00A526BF" w:rsidRPr="00FE3805" w:rsidRDefault="00A526BF" w:rsidP="008439DB">
            <w:pPr>
              <w:jc w:val="both"/>
              <w:rPr>
                <w:color w:val="000000" w:themeColor="text1"/>
                <w:lang w:val="en-US"/>
              </w:rPr>
            </w:pPr>
            <w:r w:rsidRPr="00FE3805">
              <w:rPr>
                <w:color w:val="000000" w:themeColor="text1"/>
                <w:lang w:val="en-US"/>
              </w:rPr>
              <w:t>0</w:t>
            </w:r>
          </w:p>
        </w:tc>
        <w:tc>
          <w:tcPr>
            <w:tcW w:w="1503" w:type="dxa"/>
          </w:tcPr>
          <w:p w:rsidR="00A526BF" w:rsidRPr="003147A4" w:rsidRDefault="00A526BF" w:rsidP="008439DB">
            <w:pPr>
              <w:jc w:val="both"/>
              <w:rPr>
                <w:color w:val="000000" w:themeColor="text1"/>
                <w:lang w:val="en-US"/>
              </w:rPr>
            </w:pPr>
            <w:r w:rsidRPr="003147A4">
              <w:rPr>
                <w:color w:val="000000" w:themeColor="text1"/>
                <w:lang w:val="en-US"/>
              </w:rPr>
              <w:t>1</w:t>
            </w:r>
          </w:p>
        </w:tc>
      </w:tr>
      <w:tr w:rsidR="00A526BF" w:rsidRPr="00FE3805" w:rsidTr="008439DB">
        <w:tc>
          <w:tcPr>
            <w:tcW w:w="1502" w:type="dxa"/>
          </w:tcPr>
          <w:p w:rsidR="00A526BF" w:rsidRPr="00FE3805" w:rsidRDefault="00A526BF" w:rsidP="008439DB">
            <w:pPr>
              <w:jc w:val="both"/>
              <w:rPr>
                <w:color w:val="000000" w:themeColor="text1"/>
                <w:lang w:val="en-US"/>
              </w:rPr>
            </w:pPr>
            <w:r w:rsidRPr="00FE3805">
              <w:rPr>
                <w:color w:val="000000" w:themeColor="text1"/>
                <w:lang w:val="en-US"/>
              </w:rPr>
              <w:t xml:space="preserve">Newry, </w:t>
            </w:r>
            <w:proofErr w:type="spellStart"/>
            <w:r w:rsidRPr="00FE3805">
              <w:rPr>
                <w:color w:val="000000" w:themeColor="text1"/>
                <w:lang w:val="en-US"/>
              </w:rPr>
              <w:t>Mourne</w:t>
            </w:r>
            <w:proofErr w:type="spellEnd"/>
            <w:r w:rsidRPr="00FE3805">
              <w:rPr>
                <w:color w:val="000000" w:themeColor="text1"/>
                <w:lang w:val="en-US"/>
              </w:rPr>
              <w:t xml:space="preserve"> &amp; Down</w:t>
            </w:r>
          </w:p>
        </w:tc>
        <w:tc>
          <w:tcPr>
            <w:tcW w:w="1502" w:type="dxa"/>
          </w:tcPr>
          <w:p w:rsidR="00A526BF" w:rsidRPr="00FE3805" w:rsidRDefault="00A526BF" w:rsidP="008439DB">
            <w:pPr>
              <w:jc w:val="both"/>
              <w:rPr>
                <w:color w:val="000000" w:themeColor="text1"/>
                <w:lang w:val="en-US"/>
              </w:rPr>
            </w:pPr>
            <w:r w:rsidRPr="00FE3805">
              <w:rPr>
                <w:color w:val="000000" w:themeColor="text1"/>
                <w:lang w:val="en-US"/>
              </w:rPr>
              <w:t>5</w:t>
            </w:r>
          </w:p>
        </w:tc>
        <w:tc>
          <w:tcPr>
            <w:tcW w:w="1503" w:type="dxa"/>
          </w:tcPr>
          <w:p w:rsidR="00A526BF" w:rsidRPr="00FE3805" w:rsidRDefault="00A526BF" w:rsidP="008439DB">
            <w:pPr>
              <w:jc w:val="both"/>
              <w:rPr>
                <w:color w:val="000000" w:themeColor="text1"/>
                <w:lang w:val="en-US"/>
              </w:rPr>
            </w:pPr>
            <w:r w:rsidRPr="00FE3805">
              <w:rPr>
                <w:color w:val="000000" w:themeColor="text1"/>
                <w:lang w:val="en-US"/>
              </w:rPr>
              <w:t>1</w:t>
            </w:r>
          </w:p>
        </w:tc>
        <w:tc>
          <w:tcPr>
            <w:tcW w:w="1503" w:type="dxa"/>
          </w:tcPr>
          <w:p w:rsidR="00A526BF" w:rsidRPr="00FE3805" w:rsidRDefault="00A526BF" w:rsidP="008439DB">
            <w:pPr>
              <w:jc w:val="both"/>
              <w:rPr>
                <w:color w:val="000000" w:themeColor="text1"/>
                <w:lang w:val="en-US"/>
              </w:rPr>
            </w:pPr>
            <w:r w:rsidRPr="00FE3805">
              <w:rPr>
                <w:color w:val="000000" w:themeColor="text1"/>
                <w:lang w:val="en-US"/>
              </w:rPr>
              <w:t>6</w:t>
            </w:r>
          </w:p>
        </w:tc>
        <w:tc>
          <w:tcPr>
            <w:tcW w:w="1503" w:type="dxa"/>
          </w:tcPr>
          <w:p w:rsidR="00A526BF" w:rsidRPr="00FE3805" w:rsidRDefault="00A526BF" w:rsidP="008439DB">
            <w:pPr>
              <w:jc w:val="both"/>
              <w:rPr>
                <w:color w:val="000000" w:themeColor="text1"/>
                <w:lang w:val="en-US"/>
              </w:rPr>
            </w:pPr>
            <w:r w:rsidRPr="00FE3805">
              <w:rPr>
                <w:color w:val="000000" w:themeColor="text1"/>
                <w:lang w:val="en-US"/>
              </w:rPr>
              <w:t>4</w:t>
            </w:r>
          </w:p>
        </w:tc>
        <w:tc>
          <w:tcPr>
            <w:tcW w:w="1503" w:type="dxa"/>
          </w:tcPr>
          <w:p w:rsidR="00A526BF" w:rsidRPr="003147A4" w:rsidRDefault="00A526BF" w:rsidP="008439DB">
            <w:pPr>
              <w:jc w:val="both"/>
              <w:rPr>
                <w:color w:val="000000" w:themeColor="text1"/>
                <w:lang w:val="en-US"/>
              </w:rPr>
            </w:pPr>
            <w:r w:rsidRPr="003147A4">
              <w:rPr>
                <w:color w:val="000000" w:themeColor="text1"/>
                <w:lang w:val="en-US"/>
              </w:rPr>
              <w:t>3</w:t>
            </w:r>
          </w:p>
        </w:tc>
      </w:tr>
      <w:tr w:rsidR="00A526BF" w:rsidRPr="00FE3805" w:rsidTr="008439DB">
        <w:tc>
          <w:tcPr>
            <w:tcW w:w="1502" w:type="dxa"/>
          </w:tcPr>
          <w:p w:rsidR="00A526BF" w:rsidRPr="00FE3805" w:rsidRDefault="00A526BF" w:rsidP="008439DB">
            <w:pPr>
              <w:jc w:val="both"/>
              <w:rPr>
                <w:b/>
                <w:color w:val="244061" w:themeColor="accent1" w:themeShade="80"/>
                <w:lang w:val="en-US"/>
              </w:rPr>
            </w:pPr>
            <w:r w:rsidRPr="00FE3805">
              <w:rPr>
                <w:b/>
                <w:color w:val="244061" w:themeColor="accent1" w:themeShade="80"/>
                <w:lang w:val="en-US"/>
              </w:rPr>
              <w:t>Total</w:t>
            </w:r>
          </w:p>
        </w:tc>
        <w:tc>
          <w:tcPr>
            <w:tcW w:w="1502" w:type="dxa"/>
          </w:tcPr>
          <w:p w:rsidR="00A526BF" w:rsidRPr="00FE3805" w:rsidRDefault="00A526BF" w:rsidP="008439DB">
            <w:pPr>
              <w:jc w:val="both"/>
              <w:rPr>
                <w:b/>
                <w:color w:val="244061" w:themeColor="accent1" w:themeShade="80"/>
                <w:lang w:val="en-US"/>
              </w:rPr>
            </w:pPr>
            <w:r w:rsidRPr="00FE3805">
              <w:rPr>
                <w:b/>
                <w:color w:val="244061" w:themeColor="accent1" w:themeShade="80"/>
                <w:lang w:val="en-US"/>
              </w:rPr>
              <w:t>38</w:t>
            </w:r>
          </w:p>
        </w:tc>
        <w:tc>
          <w:tcPr>
            <w:tcW w:w="1503" w:type="dxa"/>
          </w:tcPr>
          <w:p w:rsidR="00A526BF" w:rsidRPr="00FE3805" w:rsidRDefault="00A526BF" w:rsidP="008439DB">
            <w:pPr>
              <w:jc w:val="both"/>
              <w:rPr>
                <w:b/>
                <w:color w:val="244061" w:themeColor="accent1" w:themeShade="80"/>
                <w:lang w:val="en-US"/>
              </w:rPr>
            </w:pPr>
            <w:r w:rsidRPr="00FE3805">
              <w:rPr>
                <w:b/>
                <w:color w:val="244061" w:themeColor="accent1" w:themeShade="80"/>
                <w:lang w:val="en-US"/>
              </w:rPr>
              <w:t>36</w:t>
            </w:r>
          </w:p>
        </w:tc>
        <w:tc>
          <w:tcPr>
            <w:tcW w:w="1503" w:type="dxa"/>
          </w:tcPr>
          <w:p w:rsidR="00A526BF" w:rsidRPr="00FE3805" w:rsidRDefault="00A526BF" w:rsidP="008439DB">
            <w:pPr>
              <w:jc w:val="both"/>
              <w:rPr>
                <w:b/>
                <w:color w:val="244061" w:themeColor="accent1" w:themeShade="80"/>
                <w:lang w:val="en-US"/>
              </w:rPr>
            </w:pPr>
            <w:r w:rsidRPr="00FE3805">
              <w:rPr>
                <w:b/>
                <w:color w:val="244061" w:themeColor="accent1" w:themeShade="80"/>
                <w:lang w:val="en-US"/>
              </w:rPr>
              <w:t>18</w:t>
            </w:r>
          </w:p>
        </w:tc>
        <w:tc>
          <w:tcPr>
            <w:tcW w:w="1503" w:type="dxa"/>
          </w:tcPr>
          <w:p w:rsidR="00A526BF" w:rsidRPr="00FE3805" w:rsidRDefault="00A526BF" w:rsidP="008439DB">
            <w:pPr>
              <w:jc w:val="both"/>
              <w:rPr>
                <w:b/>
                <w:color w:val="244061" w:themeColor="accent1" w:themeShade="80"/>
                <w:lang w:val="en-US"/>
              </w:rPr>
            </w:pPr>
            <w:r w:rsidRPr="00FE3805">
              <w:rPr>
                <w:b/>
                <w:color w:val="244061" w:themeColor="accent1" w:themeShade="80"/>
                <w:lang w:val="en-US"/>
              </w:rPr>
              <w:t>23</w:t>
            </w:r>
          </w:p>
        </w:tc>
        <w:tc>
          <w:tcPr>
            <w:tcW w:w="1503" w:type="dxa"/>
          </w:tcPr>
          <w:p w:rsidR="00A526BF" w:rsidRPr="00FE3805" w:rsidRDefault="00A526BF" w:rsidP="008439DB">
            <w:pPr>
              <w:jc w:val="both"/>
              <w:rPr>
                <w:b/>
                <w:color w:val="244061" w:themeColor="accent1" w:themeShade="80"/>
                <w:lang w:val="en-US"/>
              </w:rPr>
            </w:pPr>
            <w:r w:rsidRPr="00FE3805">
              <w:rPr>
                <w:b/>
                <w:color w:val="244061" w:themeColor="accent1" w:themeShade="80"/>
                <w:lang w:val="en-US"/>
              </w:rPr>
              <w:t>33</w:t>
            </w:r>
          </w:p>
        </w:tc>
      </w:tr>
    </w:tbl>
    <w:p w:rsidR="00A526BF" w:rsidRPr="00FE3805" w:rsidRDefault="00A526BF" w:rsidP="00A526BF">
      <w:pPr>
        <w:jc w:val="both"/>
      </w:pPr>
    </w:p>
    <w:p w:rsidR="00A526BF" w:rsidRPr="00FE3805" w:rsidRDefault="00A526BF" w:rsidP="00A526BF">
      <w:pPr>
        <w:jc w:val="both"/>
        <w:rPr>
          <w:b/>
          <w:color w:val="244061" w:themeColor="accent1" w:themeShade="80"/>
          <w:sz w:val="24"/>
          <w:szCs w:val="24"/>
        </w:rPr>
      </w:pPr>
      <w:r w:rsidRPr="00FE3805">
        <w:rPr>
          <w:b/>
          <w:color w:val="244061" w:themeColor="accent1" w:themeShade="80"/>
          <w:sz w:val="24"/>
          <w:szCs w:val="24"/>
        </w:rPr>
        <w:t xml:space="preserve">Acknowledgements </w:t>
      </w:r>
    </w:p>
    <w:p w:rsidR="00A526BF" w:rsidRPr="00A526BF" w:rsidRDefault="00A526BF" w:rsidP="00A526BF">
      <w:pPr>
        <w:jc w:val="both"/>
        <w:rPr>
          <w:szCs w:val="24"/>
          <w:lang w:val="en-US"/>
        </w:rPr>
        <w:sectPr w:rsidR="00A526BF" w:rsidRPr="00A526BF" w:rsidSect="00E31B38">
          <w:type w:val="continuous"/>
          <w:pgSz w:w="11906" w:h="16838"/>
          <w:pgMar w:top="1440" w:right="1440" w:bottom="1440" w:left="1440" w:header="708" w:footer="708" w:gutter="0"/>
          <w:cols w:num="2" w:space="708"/>
          <w:titlePg/>
          <w:docGrid w:linePitch="360"/>
        </w:sectPr>
      </w:pPr>
      <w:r w:rsidRPr="00FE3805">
        <w:t>The Housing Executive would like to note the assistance of Welcome Organisation (for Belfast and Newry) and First Housing Aid and Support Service (for Derry/Londonderry) in both the preparation and completion of each of the street counts. Additionally, the Housing Executive acknowledges the wide range of organisations who supported the completion of the estimates in all other areas.</w:t>
      </w:r>
    </w:p>
    <w:p w:rsidR="00A526BF" w:rsidRDefault="00A526BF" w:rsidP="00A526BF">
      <w:pPr>
        <w:rPr>
          <w:rFonts w:ascii="Cambria" w:eastAsia="Times New Roman" w:hAnsi="Cambria" w:cs="Times New Roman"/>
          <w:noProof/>
          <w:color w:val="365F91"/>
          <w:sz w:val="32"/>
          <w:szCs w:val="32"/>
        </w:rPr>
      </w:pPr>
      <w:r>
        <w:rPr>
          <w:noProof/>
        </w:rPr>
        <w:lastRenderedPageBreak/>
        <w:br w:type="page"/>
      </w:r>
    </w:p>
    <w:p w:rsidR="00A67810" w:rsidRDefault="00A67810"/>
    <w:sectPr w:rsidR="00A678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6BF" w:rsidRDefault="00A526BF" w:rsidP="00A526BF">
      <w:pPr>
        <w:spacing w:after="0" w:line="240" w:lineRule="auto"/>
      </w:pPr>
      <w:r>
        <w:separator/>
      </w:r>
    </w:p>
  </w:endnote>
  <w:endnote w:type="continuationSeparator" w:id="0">
    <w:p w:rsidR="00A526BF" w:rsidRDefault="00A526BF" w:rsidP="00A52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6BF" w:rsidRDefault="00A526BF" w:rsidP="00A526BF">
      <w:pPr>
        <w:spacing w:after="0" w:line="240" w:lineRule="auto"/>
      </w:pPr>
      <w:r>
        <w:separator/>
      </w:r>
    </w:p>
  </w:footnote>
  <w:footnote w:type="continuationSeparator" w:id="0">
    <w:p w:rsidR="00A526BF" w:rsidRDefault="00A526BF" w:rsidP="00A526BF">
      <w:pPr>
        <w:spacing w:after="0" w:line="240" w:lineRule="auto"/>
      </w:pPr>
      <w:r>
        <w:continuationSeparator/>
      </w:r>
    </w:p>
  </w:footnote>
  <w:footnote w:id="1">
    <w:p w:rsidR="00A526BF" w:rsidRPr="00500AC3" w:rsidRDefault="00A526BF" w:rsidP="00A526BF">
      <w:pPr>
        <w:pStyle w:val="FootnoteText"/>
        <w:rPr>
          <w:sz w:val="18"/>
          <w:szCs w:val="18"/>
          <w:lang w:val="en-US"/>
        </w:rPr>
      </w:pPr>
      <w:r w:rsidRPr="00500AC3">
        <w:rPr>
          <w:rStyle w:val="FootnoteReference"/>
          <w:color w:val="595959" w:themeColor="text1" w:themeTint="A6"/>
          <w:sz w:val="18"/>
          <w:szCs w:val="18"/>
        </w:rPr>
        <w:footnoteRef/>
      </w:r>
      <w:r w:rsidRPr="00500AC3">
        <w:rPr>
          <w:color w:val="595959" w:themeColor="text1" w:themeTint="A6"/>
          <w:sz w:val="18"/>
          <w:szCs w:val="18"/>
        </w:rPr>
        <w:t xml:space="preserve"> </w:t>
      </w:r>
      <w:r w:rsidRPr="00500AC3">
        <w:rPr>
          <w:color w:val="595959" w:themeColor="text1" w:themeTint="A6"/>
          <w:sz w:val="18"/>
          <w:szCs w:val="18"/>
          <w:lang w:val="en-US"/>
        </w:rPr>
        <w:t>Homeless Link, ‘Rough Sleeping Estimates Toolkit 2021 – A guide for Local Authorities’</w:t>
      </w:r>
      <w:r>
        <w:rPr>
          <w:color w:val="595959" w:themeColor="text1" w:themeTint="A6"/>
          <w:sz w:val="18"/>
          <w:szCs w:val="18"/>
          <w:lang w:val="en-US"/>
        </w:rPr>
        <w:t xml:space="preserve"> -</w:t>
      </w:r>
      <w:r w:rsidRPr="00500AC3">
        <w:rPr>
          <w:color w:val="595959" w:themeColor="text1" w:themeTint="A6"/>
          <w:sz w:val="18"/>
          <w:szCs w:val="18"/>
          <w:lang w:val="en-US"/>
        </w:rPr>
        <w:t xml:space="preserve"> </w:t>
      </w:r>
      <w:hyperlink r:id="rId1" w:history="1">
        <w:r w:rsidRPr="00500AC3">
          <w:rPr>
            <w:rStyle w:val="Hyperlink"/>
            <w:sz w:val="18"/>
            <w:szCs w:val="18"/>
          </w:rPr>
          <w:t>Microsoft Word - Rough Sleeping Estimates Toolkit 2021 (Final) (kxcdn.com)</w:t>
        </w:r>
      </w:hyperlink>
      <w:r w:rsidRPr="00500AC3">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1A7691"/>
    <w:multiLevelType w:val="hybridMultilevel"/>
    <w:tmpl w:val="E1AAE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6BF"/>
    <w:rsid w:val="00555A24"/>
    <w:rsid w:val="00A526BF"/>
    <w:rsid w:val="00A67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B9758"/>
  <w15:chartTrackingRefBased/>
  <w15:docId w15:val="{C05F07E9-954E-47CB-9297-8AA9FF70F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6BF"/>
    <w:pPr>
      <w:spacing w:after="160" w:line="259" w:lineRule="auto"/>
    </w:pPr>
  </w:style>
  <w:style w:type="paragraph" w:styleId="Heading1">
    <w:name w:val="heading 1"/>
    <w:basedOn w:val="Normal"/>
    <w:next w:val="Normal"/>
    <w:link w:val="Heading1Char"/>
    <w:uiPriority w:val="9"/>
    <w:qFormat/>
    <w:rsid w:val="00A526BF"/>
    <w:pPr>
      <w:keepNext/>
      <w:keepLines/>
      <w:spacing w:before="240" w:after="0"/>
      <w:outlineLvl w:val="0"/>
    </w:pPr>
    <w:rPr>
      <w:rFonts w:ascii="Cambria" w:eastAsia="Times New Roman" w:hAnsi="Cambria" w:cs="Times New Roman"/>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6BF"/>
    <w:rPr>
      <w:rFonts w:ascii="Cambria" w:eastAsia="Times New Roman" w:hAnsi="Cambria" w:cs="Times New Roman"/>
      <w:color w:val="365F91"/>
      <w:sz w:val="32"/>
      <w:szCs w:val="32"/>
    </w:rPr>
  </w:style>
  <w:style w:type="character" w:styleId="Hyperlink">
    <w:name w:val="Hyperlink"/>
    <w:basedOn w:val="DefaultParagraphFont"/>
    <w:uiPriority w:val="99"/>
    <w:unhideWhenUsed/>
    <w:rsid w:val="00A526BF"/>
    <w:rPr>
      <w:color w:val="0000FF" w:themeColor="hyperlink"/>
      <w:u w:val="single"/>
    </w:rPr>
  </w:style>
  <w:style w:type="paragraph" w:styleId="FootnoteText">
    <w:name w:val="footnote text"/>
    <w:basedOn w:val="Normal"/>
    <w:link w:val="FootnoteTextChar"/>
    <w:uiPriority w:val="99"/>
    <w:unhideWhenUsed/>
    <w:rsid w:val="00A526BF"/>
    <w:pPr>
      <w:spacing w:after="0" w:line="240" w:lineRule="auto"/>
    </w:pPr>
    <w:rPr>
      <w:sz w:val="20"/>
      <w:szCs w:val="20"/>
    </w:rPr>
  </w:style>
  <w:style w:type="character" w:customStyle="1" w:styleId="FootnoteTextChar">
    <w:name w:val="Footnote Text Char"/>
    <w:basedOn w:val="DefaultParagraphFont"/>
    <w:link w:val="FootnoteText"/>
    <w:uiPriority w:val="99"/>
    <w:rsid w:val="00A526BF"/>
    <w:rPr>
      <w:sz w:val="20"/>
      <w:szCs w:val="20"/>
    </w:rPr>
  </w:style>
  <w:style w:type="character" w:styleId="FootnoteReference">
    <w:name w:val="footnote reference"/>
    <w:basedOn w:val="DefaultParagraphFont"/>
    <w:uiPriority w:val="99"/>
    <w:unhideWhenUsed/>
    <w:rsid w:val="00A526BF"/>
    <w:rPr>
      <w:vertAlign w:val="superscript"/>
    </w:rPr>
  </w:style>
  <w:style w:type="table" w:customStyle="1" w:styleId="TableGrid2">
    <w:name w:val="Table Grid2"/>
    <w:basedOn w:val="TableNormal"/>
    <w:next w:val="TableGrid"/>
    <w:uiPriority w:val="59"/>
    <w:rsid w:val="00A52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52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homelesslink-1b54.kxcdn.com/media/documents/Rough_Sleeping_Estimates_Toolkit_2021_4FyGfJ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Tanswell, Richard</dc:creator>
  <cp:keywords/>
  <dc:description/>
  <cp:lastModifiedBy>Tanswell, Richard</cp:lastModifiedBy>
  <cp:revision>1</cp:revision>
  <dcterms:created xsi:type="dcterms:W3CDTF">2023-09-15T09:26:00Z</dcterms:created>
  <dcterms:modified xsi:type="dcterms:W3CDTF">2023-09-15T09:33:00Z</dcterms:modified>
</cp:coreProperties>
</file>